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4A" w:rsidRDefault="0031474A" w:rsidP="003147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74A" w:rsidRDefault="0031474A" w:rsidP="003147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215.926  Control Requirements</w:t>
      </w:r>
      <w:r>
        <w:t xml:space="preserve"> </w:t>
      </w:r>
    </w:p>
    <w:p w:rsidR="0031474A" w:rsidRDefault="0031474A" w:rsidP="0031474A">
      <w:pPr>
        <w:widowControl w:val="0"/>
        <w:autoSpaceDE w:val="0"/>
        <w:autoSpaceDN w:val="0"/>
        <w:adjustRightInd w:val="0"/>
      </w:pPr>
    </w:p>
    <w:p w:rsidR="0031474A" w:rsidRDefault="0031474A" w:rsidP="003147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owner or operator of an emission source of volatile organic material shall operate in compliance with RACT, which for emission sources subject to this Subpart shall be:   </w:t>
      </w:r>
    </w:p>
    <w:p w:rsidR="00363FFB" w:rsidRDefault="00363FFB" w:rsidP="0031474A">
      <w:pPr>
        <w:widowControl w:val="0"/>
        <w:autoSpaceDE w:val="0"/>
        <w:autoSpaceDN w:val="0"/>
        <w:adjustRightInd w:val="0"/>
        <w:ind w:left="2160" w:hanging="720"/>
      </w:pPr>
    </w:p>
    <w:p w:rsidR="0031474A" w:rsidRDefault="0031474A" w:rsidP="003147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Emission capture and control techniques which achieve an overall reduction in uncontrolled volatile organic material emissions of at least 81%; or </w:t>
      </w:r>
    </w:p>
    <w:p w:rsidR="00363FFB" w:rsidRDefault="00363FFB" w:rsidP="0031474A">
      <w:pPr>
        <w:widowControl w:val="0"/>
        <w:autoSpaceDE w:val="0"/>
        <w:autoSpaceDN w:val="0"/>
        <w:adjustRightInd w:val="0"/>
        <w:ind w:left="2160" w:hanging="720"/>
      </w:pPr>
    </w:p>
    <w:p w:rsidR="0031474A" w:rsidRDefault="0031474A" w:rsidP="003147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coating lines, volatile organic material emissions not to exceed 0.42 kg/</w:t>
      </w:r>
      <w:r w:rsidR="005C44E7">
        <w:t>l</w:t>
      </w:r>
      <w:r>
        <w:t xml:space="preserve"> (3.5 </w:t>
      </w:r>
      <w:proofErr w:type="spellStart"/>
      <w:r>
        <w:t>lb</w:t>
      </w:r>
      <w:proofErr w:type="spellEnd"/>
      <w:r>
        <w:t xml:space="preserve">/gal) of coating materials as applied, excluding water and any compounds which are specifically exempted from the definition of volatile organic material, on a daily basis.  Owners and operators complying with this subsection are not required to comply with Section 215.301; or </w:t>
      </w:r>
    </w:p>
    <w:p w:rsidR="00363FFB" w:rsidRDefault="00363FFB" w:rsidP="0031474A">
      <w:pPr>
        <w:widowControl w:val="0"/>
        <w:autoSpaceDE w:val="0"/>
        <w:autoSpaceDN w:val="0"/>
        <w:adjustRightInd w:val="0"/>
        <w:ind w:left="2160" w:hanging="720"/>
      </w:pPr>
    </w:p>
    <w:p w:rsidR="0031474A" w:rsidRDefault="0031474A" w:rsidP="003147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adjusted RACT emissions limitation obtained pursuant to Subpart I. </w:t>
      </w:r>
    </w:p>
    <w:p w:rsidR="00363FFB" w:rsidRDefault="00363FFB" w:rsidP="0031474A">
      <w:pPr>
        <w:widowControl w:val="0"/>
        <w:autoSpaceDE w:val="0"/>
        <w:autoSpaceDN w:val="0"/>
        <w:adjustRightInd w:val="0"/>
        <w:ind w:left="1440" w:hanging="720"/>
      </w:pPr>
    </w:p>
    <w:p w:rsidR="0031474A" w:rsidRDefault="0031474A" w:rsidP="003147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and operators of emission sources subject to this Subpart shall comply with its requirements by April 1, 1989. </w:t>
      </w:r>
    </w:p>
    <w:p w:rsidR="0031474A" w:rsidRDefault="0031474A" w:rsidP="0031474A">
      <w:pPr>
        <w:widowControl w:val="0"/>
        <w:autoSpaceDE w:val="0"/>
        <w:autoSpaceDN w:val="0"/>
        <w:adjustRightInd w:val="0"/>
        <w:ind w:left="1440" w:hanging="720"/>
      </w:pPr>
    </w:p>
    <w:p w:rsidR="0031474A" w:rsidRDefault="0031474A" w:rsidP="003147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31474A" w:rsidSect="00314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74A"/>
    <w:rsid w:val="002262AE"/>
    <w:rsid w:val="0031474A"/>
    <w:rsid w:val="00363FFB"/>
    <w:rsid w:val="005C3366"/>
    <w:rsid w:val="005C44E7"/>
    <w:rsid w:val="006E349E"/>
    <w:rsid w:val="00B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