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2B" w:rsidRDefault="00300E2B" w:rsidP="00300E2B">
      <w:pPr>
        <w:widowControl w:val="0"/>
        <w:autoSpaceDE w:val="0"/>
        <w:autoSpaceDN w:val="0"/>
        <w:adjustRightInd w:val="0"/>
      </w:pPr>
      <w:bookmarkStart w:id="0" w:name="_GoBack"/>
      <w:bookmarkEnd w:id="0"/>
    </w:p>
    <w:p w:rsidR="00300E2B" w:rsidRDefault="00300E2B" w:rsidP="00300E2B">
      <w:pPr>
        <w:widowControl w:val="0"/>
        <w:autoSpaceDE w:val="0"/>
        <w:autoSpaceDN w:val="0"/>
        <w:adjustRightInd w:val="0"/>
      </w:pPr>
      <w:r>
        <w:rPr>
          <w:b/>
          <w:bCs/>
        </w:rPr>
        <w:t>Section 215.346  Compliance Dates and Geographical Areas</w:t>
      </w:r>
      <w:r>
        <w:t xml:space="preserve"> </w:t>
      </w:r>
    </w:p>
    <w:p w:rsidR="00300E2B" w:rsidRDefault="00300E2B" w:rsidP="00300E2B">
      <w:pPr>
        <w:widowControl w:val="0"/>
        <w:autoSpaceDE w:val="0"/>
        <w:autoSpaceDN w:val="0"/>
        <w:adjustRightInd w:val="0"/>
      </w:pPr>
    </w:p>
    <w:p w:rsidR="00300E2B" w:rsidRDefault="00300E2B" w:rsidP="00300E2B">
      <w:pPr>
        <w:widowControl w:val="0"/>
        <w:autoSpaceDE w:val="0"/>
        <w:autoSpaceDN w:val="0"/>
        <w:adjustRightInd w:val="0"/>
        <w:ind w:left="1440" w:hanging="720"/>
      </w:pPr>
      <w:r>
        <w:t>a)</w:t>
      </w:r>
      <w:r>
        <w:tab/>
        <w:t xml:space="preserve">Except as otherwise stated in subsection (b), every owner or operator of an emission source subject to Sections 215.340 through 215.345 shall comply with the standards and limitations of those Sections by December 31, 1985. </w:t>
      </w:r>
    </w:p>
    <w:p w:rsidR="000D509C" w:rsidRDefault="000D509C" w:rsidP="00300E2B">
      <w:pPr>
        <w:widowControl w:val="0"/>
        <w:autoSpaceDE w:val="0"/>
        <w:autoSpaceDN w:val="0"/>
        <w:adjustRightInd w:val="0"/>
        <w:ind w:left="1440" w:hanging="720"/>
      </w:pPr>
    </w:p>
    <w:p w:rsidR="00300E2B" w:rsidRDefault="00300E2B" w:rsidP="00300E2B">
      <w:pPr>
        <w:widowControl w:val="0"/>
        <w:autoSpaceDE w:val="0"/>
        <w:autoSpaceDN w:val="0"/>
        <w:adjustRightInd w:val="0"/>
        <w:ind w:left="1440" w:hanging="720"/>
      </w:pPr>
      <w:r>
        <w:t>b)</w:t>
      </w:r>
      <w:r>
        <w:tab/>
        <w:t xml:space="preserve">If an emission source is not located in one of the counties listed below, the owner or operator of the emission source shall comply with the requirements of Sections 215.340 through 215.345 no later than December 31, 1987: </w:t>
      </w:r>
    </w:p>
    <w:p w:rsidR="00300E2B" w:rsidRDefault="00300E2B" w:rsidP="00300E2B">
      <w:pPr>
        <w:widowControl w:val="0"/>
        <w:autoSpaceDE w:val="0"/>
        <w:autoSpaceDN w:val="0"/>
        <w:adjustRightInd w:val="0"/>
      </w:pPr>
    </w:p>
    <w:tbl>
      <w:tblPr>
        <w:tblW w:w="0" w:type="auto"/>
        <w:tblInd w:w="2616" w:type="dxa"/>
        <w:tblLook w:val="0000" w:firstRow="0" w:lastRow="0" w:firstColumn="0" w:lastColumn="0" w:noHBand="0" w:noVBand="0"/>
      </w:tblPr>
      <w:tblGrid>
        <w:gridCol w:w="3534"/>
        <w:gridCol w:w="2622"/>
      </w:tblGrid>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Bond</w:t>
            </w:r>
          </w:p>
        </w:tc>
        <w:tc>
          <w:tcPr>
            <w:tcW w:w="2622" w:type="dxa"/>
          </w:tcPr>
          <w:p w:rsidR="00765AC4" w:rsidRPr="00765AC4" w:rsidRDefault="00765AC4" w:rsidP="000E73C3">
            <w:pPr>
              <w:widowControl w:val="0"/>
              <w:autoSpaceDE w:val="0"/>
              <w:autoSpaceDN w:val="0"/>
              <w:adjustRightInd w:val="0"/>
            </w:pPr>
            <w:r w:rsidRPr="00765AC4">
              <w:t>Madison</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Clinton</w:t>
            </w:r>
          </w:p>
        </w:tc>
        <w:tc>
          <w:tcPr>
            <w:tcW w:w="2622" w:type="dxa"/>
          </w:tcPr>
          <w:p w:rsidR="00765AC4" w:rsidRPr="00765AC4" w:rsidRDefault="00765AC4" w:rsidP="000E73C3">
            <w:pPr>
              <w:widowControl w:val="0"/>
              <w:autoSpaceDE w:val="0"/>
              <w:autoSpaceDN w:val="0"/>
              <w:adjustRightInd w:val="0"/>
            </w:pPr>
            <w:r w:rsidRPr="00765AC4">
              <w:t>McHenry</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Cook</w:t>
            </w:r>
          </w:p>
        </w:tc>
        <w:tc>
          <w:tcPr>
            <w:tcW w:w="2622" w:type="dxa"/>
          </w:tcPr>
          <w:p w:rsidR="00765AC4" w:rsidRPr="00765AC4" w:rsidRDefault="00765AC4" w:rsidP="000E73C3">
            <w:pPr>
              <w:widowControl w:val="0"/>
              <w:autoSpaceDE w:val="0"/>
              <w:autoSpaceDN w:val="0"/>
              <w:adjustRightInd w:val="0"/>
            </w:pPr>
            <w:r w:rsidRPr="00765AC4">
              <w:t>Monroe</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DeKalb</w:t>
            </w:r>
          </w:p>
        </w:tc>
        <w:tc>
          <w:tcPr>
            <w:tcW w:w="2622" w:type="dxa"/>
          </w:tcPr>
          <w:p w:rsidR="00765AC4" w:rsidRPr="00765AC4" w:rsidRDefault="00765AC4" w:rsidP="000E73C3">
            <w:pPr>
              <w:widowControl w:val="0"/>
              <w:autoSpaceDE w:val="0"/>
              <w:autoSpaceDN w:val="0"/>
              <w:adjustRightInd w:val="0"/>
            </w:pPr>
            <w:r w:rsidRPr="00765AC4">
              <w:t>Montgomery</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proofErr w:type="spellStart"/>
            <w:r w:rsidRPr="00765AC4">
              <w:t>DuPage</w:t>
            </w:r>
            <w:proofErr w:type="spellEnd"/>
          </w:p>
        </w:tc>
        <w:tc>
          <w:tcPr>
            <w:tcW w:w="2622" w:type="dxa"/>
          </w:tcPr>
          <w:p w:rsidR="00765AC4" w:rsidRPr="00765AC4" w:rsidRDefault="00765AC4" w:rsidP="000E73C3">
            <w:pPr>
              <w:widowControl w:val="0"/>
              <w:autoSpaceDE w:val="0"/>
              <w:autoSpaceDN w:val="0"/>
              <w:adjustRightInd w:val="0"/>
            </w:pPr>
            <w:r w:rsidRPr="00765AC4">
              <w:t>Morgan</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Franklin</w:t>
            </w:r>
          </w:p>
        </w:tc>
        <w:tc>
          <w:tcPr>
            <w:tcW w:w="2622" w:type="dxa"/>
          </w:tcPr>
          <w:p w:rsidR="00765AC4" w:rsidRPr="00765AC4" w:rsidRDefault="00765AC4" w:rsidP="000E73C3">
            <w:pPr>
              <w:widowControl w:val="0"/>
              <w:autoSpaceDE w:val="0"/>
              <w:autoSpaceDN w:val="0"/>
              <w:adjustRightInd w:val="0"/>
            </w:pPr>
            <w:r w:rsidRPr="00765AC4">
              <w:t>Pope</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Greene</w:t>
            </w:r>
          </w:p>
        </w:tc>
        <w:tc>
          <w:tcPr>
            <w:tcW w:w="2622" w:type="dxa"/>
          </w:tcPr>
          <w:p w:rsidR="00765AC4" w:rsidRPr="00765AC4" w:rsidRDefault="00765AC4" w:rsidP="000E73C3">
            <w:pPr>
              <w:widowControl w:val="0"/>
              <w:autoSpaceDE w:val="0"/>
              <w:autoSpaceDN w:val="0"/>
              <w:adjustRightInd w:val="0"/>
            </w:pPr>
            <w:r w:rsidRPr="00765AC4">
              <w:t>Randolph</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Jackson</w:t>
            </w:r>
          </w:p>
        </w:tc>
        <w:tc>
          <w:tcPr>
            <w:tcW w:w="2622" w:type="dxa"/>
          </w:tcPr>
          <w:p w:rsidR="00765AC4" w:rsidRPr="00765AC4" w:rsidRDefault="00765AC4" w:rsidP="000E73C3">
            <w:pPr>
              <w:widowControl w:val="0"/>
              <w:autoSpaceDE w:val="0"/>
              <w:autoSpaceDN w:val="0"/>
              <w:adjustRightInd w:val="0"/>
            </w:pPr>
            <w:r w:rsidRPr="00765AC4">
              <w:t>Saline</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Jersey</w:t>
            </w:r>
          </w:p>
        </w:tc>
        <w:tc>
          <w:tcPr>
            <w:tcW w:w="2622" w:type="dxa"/>
          </w:tcPr>
          <w:p w:rsidR="00765AC4" w:rsidRPr="00765AC4" w:rsidRDefault="00765AC4" w:rsidP="000E73C3">
            <w:pPr>
              <w:widowControl w:val="0"/>
              <w:autoSpaceDE w:val="0"/>
              <w:autoSpaceDN w:val="0"/>
              <w:adjustRightInd w:val="0"/>
            </w:pPr>
            <w:r w:rsidRPr="00765AC4">
              <w:t>Sangamon</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Johnson</w:t>
            </w:r>
          </w:p>
        </w:tc>
        <w:tc>
          <w:tcPr>
            <w:tcW w:w="2622" w:type="dxa"/>
          </w:tcPr>
          <w:p w:rsidR="00765AC4" w:rsidRPr="00765AC4" w:rsidRDefault="00765AC4" w:rsidP="000E73C3">
            <w:pPr>
              <w:widowControl w:val="0"/>
              <w:autoSpaceDE w:val="0"/>
              <w:autoSpaceDN w:val="0"/>
              <w:adjustRightInd w:val="0"/>
            </w:pPr>
            <w:r w:rsidRPr="00765AC4">
              <w:t>St. Clair</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Kane</w:t>
            </w:r>
          </w:p>
        </w:tc>
        <w:tc>
          <w:tcPr>
            <w:tcW w:w="2622" w:type="dxa"/>
          </w:tcPr>
          <w:p w:rsidR="00765AC4" w:rsidRPr="00765AC4" w:rsidRDefault="00765AC4" w:rsidP="000E73C3">
            <w:pPr>
              <w:widowControl w:val="0"/>
              <w:autoSpaceDE w:val="0"/>
              <w:autoSpaceDN w:val="0"/>
              <w:adjustRightInd w:val="0"/>
            </w:pPr>
            <w:r w:rsidRPr="00765AC4">
              <w:t>Union</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Kendall</w:t>
            </w:r>
          </w:p>
        </w:tc>
        <w:tc>
          <w:tcPr>
            <w:tcW w:w="2622" w:type="dxa"/>
          </w:tcPr>
          <w:p w:rsidR="00765AC4" w:rsidRPr="00765AC4" w:rsidRDefault="00765AC4" w:rsidP="000E73C3">
            <w:pPr>
              <w:widowControl w:val="0"/>
              <w:autoSpaceDE w:val="0"/>
              <w:autoSpaceDN w:val="0"/>
              <w:adjustRightInd w:val="0"/>
            </w:pPr>
            <w:r w:rsidRPr="00765AC4">
              <w:t>Washington</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Lake</w:t>
            </w:r>
          </w:p>
        </w:tc>
        <w:tc>
          <w:tcPr>
            <w:tcW w:w="2622" w:type="dxa"/>
          </w:tcPr>
          <w:p w:rsidR="00765AC4" w:rsidRPr="00765AC4" w:rsidRDefault="00765AC4" w:rsidP="000E73C3">
            <w:pPr>
              <w:widowControl w:val="0"/>
              <w:autoSpaceDE w:val="0"/>
              <w:autoSpaceDN w:val="0"/>
              <w:adjustRightInd w:val="0"/>
            </w:pPr>
            <w:r w:rsidRPr="00765AC4">
              <w:t>Will</w:t>
            </w:r>
          </w:p>
        </w:tc>
      </w:tr>
      <w:tr w:rsidR="00765AC4" w:rsidRPr="00765AC4">
        <w:tblPrEx>
          <w:tblCellMar>
            <w:top w:w="0" w:type="dxa"/>
            <w:bottom w:w="0" w:type="dxa"/>
          </w:tblCellMar>
        </w:tblPrEx>
        <w:tc>
          <w:tcPr>
            <w:tcW w:w="3534" w:type="dxa"/>
          </w:tcPr>
          <w:p w:rsidR="00765AC4" w:rsidRPr="00765AC4" w:rsidRDefault="00765AC4" w:rsidP="000E73C3">
            <w:pPr>
              <w:widowControl w:val="0"/>
              <w:autoSpaceDE w:val="0"/>
              <w:autoSpaceDN w:val="0"/>
              <w:adjustRightInd w:val="0"/>
            </w:pPr>
            <w:r w:rsidRPr="00765AC4">
              <w:t>Macoupin</w:t>
            </w:r>
          </w:p>
        </w:tc>
        <w:tc>
          <w:tcPr>
            <w:tcW w:w="2622" w:type="dxa"/>
          </w:tcPr>
          <w:p w:rsidR="00765AC4" w:rsidRPr="00765AC4" w:rsidRDefault="00765AC4" w:rsidP="000E73C3">
            <w:pPr>
              <w:widowControl w:val="0"/>
              <w:autoSpaceDE w:val="0"/>
              <w:autoSpaceDN w:val="0"/>
              <w:adjustRightInd w:val="0"/>
            </w:pPr>
            <w:r w:rsidRPr="00765AC4">
              <w:t>Williamson</w:t>
            </w:r>
          </w:p>
        </w:tc>
      </w:tr>
    </w:tbl>
    <w:p w:rsidR="00765AC4" w:rsidRDefault="00765AC4" w:rsidP="00300E2B">
      <w:pPr>
        <w:widowControl w:val="0"/>
        <w:autoSpaceDE w:val="0"/>
        <w:autoSpaceDN w:val="0"/>
        <w:adjustRightInd w:val="0"/>
      </w:pPr>
    </w:p>
    <w:p w:rsidR="00300E2B" w:rsidRDefault="00300E2B" w:rsidP="00300E2B">
      <w:pPr>
        <w:widowControl w:val="0"/>
        <w:autoSpaceDE w:val="0"/>
        <w:autoSpaceDN w:val="0"/>
        <w:adjustRightInd w:val="0"/>
        <w:ind w:left="1440" w:hanging="720"/>
      </w:pPr>
      <w:r>
        <w:t xml:space="preserve"> </w:t>
      </w:r>
      <w:r>
        <w:tab/>
        <w:t xml:space="preserve">(BOARD NOTE:  The USEPA noted in its </w:t>
      </w:r>
      <w:proofErr w:type="spellStart"/>
      <w:r>
        <w:t>redesignation</w:t>
      </w:r>
      <w:proofErr w:type="spellEnd"/>
      <w:r>
        <w:t xml:space="preserve"> rulemaking, that it will publish a rulemaking notice on Williamson County's attainment status.  (45 Fed. Reg. 21949, May 16, 1983)  Should Williamson County be re-designated as attainment prior to December 31, 1984, it and the counties contiguous to it will be considered deleted from the above list.) </w:t>
      </w:r>
    </w:p>
    <w:p w:rsidR="000D509C" w:rsidRDefault="000D509C" w:rsidP="00300E2B">
      <w:pPr>
        <w:widowControl w:val="0"/>
        <w:autoSpaceDE w:val="0"/>
        <w:autoSpaceDN w:val="0"/>
        <w:adjustRightInd w:val="0"/>
        <w:ind w:left="1440" w:hanging="720"/>
      </w:pPr>
    </w:p>
    <w:p w:rsidR="00300E2B" w:rsidRDefault="00300E2B" w:rsidP="00300E2B">
      <w:pPr>
        <w:widowControl w:val="0"/>
        <w:autoSpaceDE w:val="0"/>
        <w:autoSpaceDN w:val="0"/>
        <w:adjustRightInd w:val="0"/>
        <w:ind w:left="1440" w:hanging="720"/>
      </w:pPr>
      <w:r>
        <w:t>c)</w:t>
      </w:r>
      <w:r>
        <w:tab/>
        <w:t xml:space="preserve">Notwithstanding subsection (b), if any county is </w:t>
      </w:r>
      <w:proofErr w:type="spellStart"/>
      <w:r>
        <w:t>redesignated</w:t>
      </w:r>
      <w:proofErr w:type="spellEnd"/>
      <w:r>
        <w:t xml:space="preserve"> as nonattainment by the USEPA at any time subsequent to the effective date of this Section, the owner or operator of an emission source located in that county or any county contiguous to that county who would otherwise by subject to the compliance date in subsection (b) shall comply with the requirements of Sections 215.340 through 215.345 within one year from the date of </w:t>
      </w:r>
      <w:proofErr w:type="spellStart"/>
      <w:r>
        <w:t>redesignation</w:t>
      </w:r>
      <w:proofErr w:type="spellEnd"/>
      <w:r>
        <w:t xml:space="preserve"> but in no case later than December 31, 1987. </w:t>
      </w:r>
    </w:p>
    <w:p w:rsidR="00300E2B" w:rsidRDefault="00300E2B" w:rsidP="00300E2B">
      <w:pPr>
        <w:widowControl w:val="0"/>
        <w:autoSpaceDE w:val="0"/>
        <w:autoSpaceDN w:val="0"/>
        <w:adjustRightInd w:val="0"/>
        <w:ind w:left="1440" w:hanging="720"/>
      </w:pPr>
    </w:p>
    <w:p w:rsidR="00300E2B" w:rsidRDefault="00300E2B" w:rsidP="00300E2B">
      <w:pPr>
        <w:widowControl w:val="0"/>
        <w:autoSpaceDE w:val="0"/>
        <w:autoSpaceDN w:val="0"/>
        <w:adjustRightInd w:val="0"/>
        <w:ind w:left="1440" w:hanging="720"/>
      </w:pPr>
      <w:r>
        <w:t xml:space="preserve">(Source:  Added at 8 Ill. Reg. 13254, effective July 12, 1984) </w:t>
      </w:r>
    </w:p>
    <w:sectPr w:rsidR="00300E2B" w:rsidSect="00300E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0E2B"/>
    <w:rsid w:val="000D509C"/>
    <w:rsid w:val="000E73C3"/>
    <w:rsid w:val="00300E2B"/>
    <w:rsid w:val="005C3366"/>
    <w:rsid w:val="00765AC4"/>
    <w:rsid w:val="008B2651"/>
    <w:rsid w:val="00B26E16"/>
    <w:rsid w:val="00FB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