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DC" w:rsidRDefault="001F7ADC" w:rsidP="001F7A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ADC" w:rsidRDefault="001F7ADC" w:rsidP="001F7A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214.423  Slab Reheat Furnaces in St. Louis Area</w:t>
      </w:r>
      <w:r>
        <w:t xml:space="preserve"> </w:t>
      </w:r>
    </w:p>
    <w:p w:rsidR="001F7ADC" w:rsidRDefault="001F7ADC" w:rsidP="001F7ADC">
      <w:pPr>
        <w:widowControl w:val="0"/>
        <w:autoSpaceDE w:val="0"/>
        <w:autoSpaceDN w:val="0"/>
        <w:adjustRightInd w:val="0"/>
      </w:pPr>
    </w:p>
    <w:p w:rsidR="001F7ADC" w:rsidRDefault="001F7ADC" w:rsidP="001F7ADC">
      <w:pPr>
        <w:widowControl w:val="0"/>
        <w:autoSpaceDE w:val="0"/>
        <w:autoSpaceDN w:val="0"/>
        <w:adjustRightInd w:val="0"/>
      </w:pPr>
      <w:r>
        <w:t xml:space="preserve">Section 214.304 notwithstanding, slab reheat furnaces in the St. Louis (Illinois) major metropolitan area with fuel burning capacities in excess of 650 mmbtu/hr and burning any residual fuel shall not be subject to the applicable Subpart B through F so long as the total sulfur dioxide emissions resulting from the burning of residual fuel oil in all such furnaces at any one steel mill do not exceed 730 lbs/hr. </w:t>
      </w:r>
    </w:p>
    <w:p w:rsidR="001F7ADC" w:rsidRDefault="001F7ADC" w:rsidP="001F7ADC">
      <w:pPr>
        <w:widowControl w:val="0"/>
        <w:autoSpaceDE w:val="0"/>
        <w:autoSpaceDN w:val="0"/>
        <w:adjustRightInd w:val="0"/>
      </w:pPr>
    </w:p>
    <w:p w:rsidR="001F7ADC" w:rsidRDefault="001F7ADC" w:rsidP="001F7A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7 Ill. Reg. 4219, effective March 28, 1983) </w:t>
      </w:r>
    </w:p>
    <w:sectPr w:rsidR="001F7ADC" w:rsidSect="001F7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ADC"/>
    <w:rsid w:val="00197D24"/>
    <w:rsid w:val="001F7ADC"/>
    <w:rsid w:val="00367CFC"/>
    <w:rsid w:val="005C3366"/>
    <w:rsid w:val="009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