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1" w:rsidRDefault="000A1711" w:rsidP="000A17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711" w:rsidRDefault="000A1711" w:rsidP="000A1711">
      <w:pPr>
        <w:widowControl w:val="0"/>
        <w:autoSpaceDE w:val="0"/>
        <w:autoSpaceDN w:val="0"/>
        <w:adjustRightInd w:val="0"/>
        <w:jc w:val="center"/>
      </w:pPr>
      <w:r>
        <w:t>SUBPART Q:  PRIMARY AND SECONDARY</w:t>
      </w:r>
    </w:p>
    <w:p w:rsidR="000A1711" w:rsidRDefault="000A1711" w:rsidP="000A1711">
      <w:pPr>
        <w:widowControl w:val="0"/>
        <w:autoSpaceDE w:val="0"/>
        <w:autoSpaceDN w:val="0"/>
        <w:adjustRightInd w:val="0"/>
        <w:jc w:val="center"/>
      </w:pPr>
      <w:r>
        <w:t>METAL MANUFACTURING</w:t>
      </w:r>
    </w:p>
    <w:sectPr w:rsidR="000A1711" w:rsidSect="000A1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711"/>
    <w:rsid w:val="000A1711"/>
    <w:rsid w:val="005C3366"/>
    <w:rsid w:val="005E7629"/>
    <w:rsid w:val="00B05D00"/>
    <w:rsid w:val="00C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PRIMARY AND SECONDARY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PRIMARY AND SECONDARY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