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72" w:rsidRDefault="00815272" w:rsidP="00815272">
      <w:pPr>
        <w:widowControl w:val="0"/>
        <w:autoSpaceDE w:val="0"/>
        <w:autoSpaceDN w:val="0"/>
        <w:adjustRightInd w:val="0"/>
      </w:pPr>
    </w:p>
    <w:p w:rsidR="00815272" w:rsidRDefault="00815272" w:rsidP="00815272">
      <w:pPr>
        <w:widowControl w:val="0"/>
        <w:autoSpaceDE w:val="0"/>
        <w:autoSpaceDN w:val="0"/>
        <w:adjustRightInd w:val="0"/>
      </w:pPr>
      <w:r>
        <w:rPr>
          <w:b/>
          <w:bCs/>
        </w:rPr>
        <w:t xml:space="preserve">Section </w:t>
      </w:r>
      <w:proofErr w:type="gramStart"/>
      <w:r>
        <w:rPr>
          <w:b/>
          <w:bCs/>
        </w:rPr>
        <w:t>214.101  Measurement</w:t>
      </w:r>
      <w:proofErr w:type="gramEnd"/>
      <w:r>
        <w:rPr>
          <w:b/>
          <w:bCs/>
        </w:rPr>
        <w:t xml:space="preserve"> Methods</w:t>
      </w:r>
      <w:r>
        <w:t xml:space="preserve"> </w:t>
      </w:r>
    </w:p>
    <w:p w:rsidR="00815272" w:rsidRDefault="00815272" w:rsidP="00815272">
      <w:pPr>
        <w:widowControl w:val="0"/>
        <w:autoSpaceDE w:val="0"/>
        <w:autoSpaceDN w:val="0"/>
        <w:adjustRightInd w:val="0"/>
      </w:pPr>
    </w:p>
    <w:p w:rsidR="00815272" w:rsidRDefault="00815272" w:rsidP="00815272">
      <w:pPr>
        <w:widowControl w:val="0"/>
        <w:autoSpaceDE w:val="0"/>
        <w:autoSpaceDN w:val="0"/>
        <w:adjustRightInd w:val="0"/>
      </w:pPr>
      <w:r>
        <w:t xml:space="preserve">A determination of non-compliance based on any subsection of this Section </w:t>
      </w:r>
      <w:proofErr w:type="gramStart"/>
      <w:r>
        <w:t>shall not be refuted</w:t>
      </w:r>
      <w:proofErr w:type="gramEnd"/>
      <w:r>
        <w:t xml:space="preserve"> by evidence of compliance with any other subsection. </w:t>
      </w:r>
    </w:p>
    <w:p w:rsidR="00637239" w:rsidRDefault="00637239" w:rsidP="00815272">
      <w:pPr>
        <w:widowControl w:val="0"/>
        <w:autoSpaceDE w:val="0"/>
        <w:autoSpaceDN w:val="0"/>
        <w:adjustRightInd w:val="0"/>
      </w:pPr>
    </w:p>
    <w:p w:rsidR="00815272" w:rsidRDefault="00815272" w:rsidP="00815272">
      <w:pPr>
        <w:widowControl w:val="0"/>
        <w:autoSpaceDE w:val="0"/>
        <w:autoSpaceDN w:val="0"/>
        <w:adjustRightInd w:val="0"/>
        <w:ind w:left="1440" w:hanging="720"/>
      </w:pPr>
      <w:r>
        <w:t>a)</w:t>
      </w:r>
      <w:r>
        <w:tab/>
        <w:t xml:space="preserve">Sulfur Dioxide Measurement.  </w:t>
      </w:r>
      <w:proofErr w:type="gramStart"/>
      <w:r>
        <w:t xml:space="preserve">Measurement of sulfur dioxide emissions from stationary sources shall be made according to an applicable method specified in 40 CFR 60, </w:t>
      </w:r>
      <w:r w:rsidR="004C3EBB">
        <w:t>appendix</w:t>
      </w:r>
      <w:r>
        <w:t xml:space="preserve"> A, Method 6, 6A, 6B, or 6C, incorporated by reference in Section 214.104(a), or by measurement procedures established pursuant to 40 CFR 60.8(b), incorporated by reference in Section 214.104(b)</w:t>
      </w:r>
      <w:r w:rsidR="008546A4">
        <w:t>, or by an installed certified continuous emissions monitoring system, or by an alternative monitoring method available under 40 CFR 75, incorporated by reference in Section 214.10</w:t>
      </w:r>
      <w:r w:rsidR="00812C4C">
        <w:t>4</w:t>
      </w:r>
      <w:r w:rsidR="008546A4">
        <w:t>(e)</w:t>
      </w:r>
      <w:r>
        <w:t>.</w:t>
      </w:r>
      <w:proofErr w:type="gramEnd"/>
      <w:r w:rsidR="00F93043">
        <w:t xml:space="preserve"> </w:t>
      </w:r>
    </w:p>
    <w:p w:rsidR="00637239" w:rsidRDefault="00637239" w:rsidP="00B270A7"/>
    <w:p w:rsidR="00815272" w:rsidRDefault="00815272" w:rsidP="00815272">
      <w:pPr>
        <w:widowControl w:val="0"/>
        <w:autoSpaceDE w:val="0"/>
        <w:autoSpaceDN w:val="0"/>
        <w:adjustRightInd w:val="0"/>
        <w:ind w:left="1440" w:hanging="720"/>
      </w:pPr>
      <w:r>
        <w:t>b)</w:t>
      </w:r>
      <w:r>
        <w:tab/>
        <w:t>Sulfuric Acid Mist and Sulfur Trioxide Measurement. Measurement of sulfuric acid mist and sulfur trioxide shall be according to the barium-</w:t>
      </w:r>
      <w:proofErr w:type="spellStart"/>
      <w:r>
        <w:t>thorin</w:t>
      </w:r>
      <w:proofErr w:type="spellEnd"/>
      <w:r>
        <w:t xml:space="preserve"> titration method specified in 40 CFR 60, </w:t>
      </w:r>
      <w:r w:rsidR="004C3EBB">
        <w:t>appendix</w:t>
      </w:r>
      <w:r>
        <w:t xml:space="preserve"> A, Method 8, </w:t>
      </w:r>
      <w:r w:rsidR="00846FD1">
        <w:t>incorporated</w:t>
      </w:r>
      <w:r>
        <w:t xml:space="preserve"> by reference in Section 214.104(a)</w:t>
      </w:r>
      <w:r w:rsidR="008546A4">
        <w:t>, or a controlled condensate method approved in writing by the Agency</w:t>
      </w:r>
      <w:r>
        <w:t xml:space="preserve">. </w:t>
      </w:r>
    </w:p>
    <w:p w:rsidR="00637239" w:rsidRDefault="00637239" w:rsidP="00B270A7"/>
    <w:p w:rsidR="00815272" w:rsidRDefault="00815272" w:rsidP="00815272">
      <w:pPr>
        <w:widowControl w:val="0"/>
        <w:autoSpaceDE w:val="0"/>
        <w:autoSpaceDN w:val="0"/>
        <w:adjustRightInd w:val="0"/>
        <w:ind w:left="1440" w:hanging="720"/>
      </w:pPr>
      <w:r>
        <w:t>c)</w:t>
      </w:r>
      <w:r>
        <w:tab/>
        <w:t xml:space="preserve">Solid Fuel Averaging Measurement Daily Analysis Method. This subsection applies to sources at plants with total solid fuel-fired heat input capacity exceeding 439.5 MW (1500 </w:t>
      </w:r>
      <w:proofErr w:type="spellStart"/>
      <w:r w:rsidR="008546A4">
        <w:t>mm</w:t>
      </w:r>
      <w:r>
        <w:t>Btu</w:t>
      </w:r>
      <w:proofErr w:type="spellEnd"/>
      <w:r>
        <w:t>/</w:t>
      </w:r>
      <w:proofErr w:type="spellStart"/>
      <w:r>
        <w:t>hr</w:t>
      </w:r>
      <w:proofErr w:type="spellEnd"/>
      <w:r>
        <w:t xml:space="preserve">).  </w:t>
      </w:r>
      <w:proofErr w:type="gramStart"/>
      <w:r>
        <w:t>If daily fuel analysis is used to demonstrate compliance or non-compliance with Sections 214.122, 214.141, 214.142(a) 214.162, 214.186 and 214.421, the sulfur dioxide emission rate to be compared to the emission limit shall be considered to be the result of averaging daily samples taken over any consecutive two-month period provided no more than 5 percent of the sample values are greater than 20 percent above the sample average.</w:t>
      </w:r>
      <w:proofErr w:type="gramEnd"/>
      <w:r>
        <w:t xml:space="preserve">  If samples from a source cannot meet this statistical criterion, each individual daily sample analysis for such source </w:t>
      </w:r>
      <w:proofErr w:type="gramStart"/>
      <w:r>
        <w:t>shall be compared</w:t>
      </w:r>
      <w:proofErr w:type="gramEnd"/>
      <w:r>
        <w:t xml:space="preserve"> to the source's emission limit to determine compliance. The specific ASTM procedures, incorporated by reference in Section 214.104(c), </w:t>
      </w:r>
      <w:proofErr w:type="gramStart"/>
      <w:r>
        <w:t>shall be used</w:t>
      </w:r>
      <w:proofErr w:type="gramEnd"/>
      <w:r>
        <w:t xml:space="preserve"> for solid fuel sampling, sulfur, and heating value determinations. </w:t>
      </w:r>
    </w:p>
    <w:p w:rsidR="00637239" w:rsidRDefault="00637239" w:rsidP="00B270A7"/>
    <w:p w:rsidR="00815272" w:rsidRDefault="00815272" w:rsidP="00815272">
      <w:pPr>
        <w:widowControl w:val="0"/>
        <w:autoSpaceDE w:val="0"/>
        <w:autoSpaceDN w:val="0"/>
        <w:adjustRightInd w:val="0"/>
        <w:ind w:left="1440" w:hanging="720"/>
      </w:pPr>
      <w:r>
        <w:t>d)</w:t>
      </w:r>
      <w:r>
        <w:tab/>
        <w:t xml:space="preserve">Weekly Analysis Method. This subsection applies to sources at plants with total solid fuel-fired heat input capacity exceeding 146.5 MW (500 </w:t>
      </w:r>
      <w:proofErr w:type="spellStart"/>
      <w:r w:rsidR="008546A4">
        <w:t>mm</w:t>
      </w:r>
      <w:r>
        <w:t>Btu</w:t>
      </w:r>
      <w:proofErr w:type="spellEnd"/>
      <w:r>
        <w:t>/</w:t>
      </w:r>
      <w:proofErr w:type="spellStart"/>
      <w:r>
        <w:t>hr</w:t>
      </w:r>
      <w:proofErr w:type="spellEnd"/>
      <w:r>
        <w:t xml:space="preserve">) but not exceeding 439.5 MW (1500 </w:t>
      </w:r>
      <w:proofErr w:type="spellStart"/>
      <w:r w:rsidR="008546A4">
        <w:t>mm</w:t>
      </w:r>
      <w:r>
        <w:t>Btu</w:t>
      </w:r>
      <w:proofErr w:type="spellEnd"/>
      <w:r>
        <w:t>/</w:t>
      </w:r>
      <w:proofErr w:type="spellStart"/>
      <w:r>
        <w:t>hr</w:t>
      </w:r>
      <w:proofErr w:type="spellEnd"/>
      <w:r>
        <w:t xml:space="preserve">). These plants shall demonstrate compliance or non-compliance with Sections 214.122, 214.141, 214.142(a), 214.162, 214.186 and 214.421 </w:t>
      </w:r>
      <w:proofErr w:type="gramStart"/>
      <w:r>
        <w:t>by either</w:t>
      </w:r>
      <w:proofErr w:type="gramEnd"/>
      <w:r>
        <w:t xml:space="preserve"> an analysis of calendar weekly composites of daily fuel samples or by compliance with subsection (c), at the option of the plant. The specific ASTM procedures incorporated by reference in Section 214.104(c), </w:t>
      </w:r>
      <w:proofErr w:type="gramStart"/>
      <w:r>
        <w:t>shall be used</w:t>
      </w:r>
      <w:proofErr w:type="gramEnd"/>
      <w:r>
        <w:t xml:space="preserve"> for sulfur and heating value determinations. </w:t>
      </w:r>
    </w:p>
    <w:p w:rsidR="00637239" w:rsidRDefault="00637239" w:rsidP="00B270A7"/>
    <w:p w:rsidR="00815272" w:rsidRDefault="00815272" w:rsidP="00815272">
      <w:pPr>
        <w:widowControl w:val="0"/>
        <w:autoSpaceDE w:val="0"/>
        <w:autoSpaceDN w:val="0"/>
        <w:adjustRightInd w:val="0"/>
        <w:ind w:left="1440" w:hanging="720"/>
      </w:pPr>
      <w:r>
        <w:t>e)</w:t>
      </w:r>
      <w:r>
        <w:tab/>
        <w:t xml:space="preserve">Monthly Analysis Method. This subsection applies to sources at plants with total fuel-fired heat input capacity exceeding 14.65 MW (50 </w:t>
      </w:r>
      <w:proofErr w:type="spellStart"/>
      <w:r w:rsidR="008546A4">
        <w:t>mm</w:t>
      </w:r>
      <w:r>
        <w:t>Btu</w:t>
      </w:r>
      <w:proofErr w:type="spellEnd"/>
      <w:r>
        <w:t>/</w:t>
      </w:r>
      <w:proofErr w:type="spellStart"/>
      <w:r>
        <w:t>hr</w:t>
      </w:r>
      <w:proofErr w:type="spellEnd"/>
      <w:r>
        <w:t xml:space="preserve">) but not </w:t>
      </w:r>
      <w:r>
        <w:lastRenderedPageBreak/>
        <w:t xml:space="preserve">exceeding 146.5 MW (500 </w:t>
      </w:r>
      <w:proofErr w:type="spellStart"/>
      <w:r w:rsidR="008546A4">
        <w:t>mm</w:t>
      </w:r>
      <w:r>
        <w:t>Btu</w:t>
      </w:r>
      <w:proofErr w:type="spellEnd"/>
      <w:r>
        <w:t>/</w:t>
      </w:r>
      <w:proofErr w:type="spellStart"/>
      <w:r>
        <w:t>hr</w:t>
      </w:r>
      <w:proofErr w:type="spellEnd"/>
      <w:r>
        <w:t xml:space="preserve">). These plants shall demonstrate compliance or non-compliance with Sections 214.122, 214.141, 214.142(a), 214.162, 214.186 and 214.421 </w:t>
      </w:r>
      <w:proofErr w:type="gramStart"/>
      <w:r>
        <w:t>by either</w:t>
      </w:r>
      <w:proofErr w:type="gramEnd"/>
      <w:r>
        <w:t xml:space="preserve"> an analysis of calendar monthly composites of daily fuel samples or by compliance with subsection (c), at the option of the plant. ASTM procedures incorporated by reference in Section 214.104(c), </w:t>
      </w:r>
      <w:proofErr w:type="gramStart"/>
      <w:r>
        <w:t>shall be used</w:t>
      </w:r>
      <w:proofErr w:type="gramEnd"/>
      <w:r>
        <w:t xml:space="preserve"> for sulfur and heating value determinations. </w:t>
      </w:r>
    </w:p>
    <w:p w:rsidR="00637239" w:rsidRDefault="00637239" w:rsidP="00B270A7"/>
    <w:p w:rsidR="00815272" w:rsidRDefault="00815272" w:rsidP="00815272">
      <w:pPr>
        <w:widowControl w:val="0"/>
        <w:autoSpaceDE w:val="0"/>
        <w:autoSpaceDN w:val="0"/>
        <w:adjustRightInd w:val="0"/>
        <w:ind w:left="1440" w:hanging="720"/>
      </w:pPr>
      <w:r>
        <w:t>f)</w:t>
      </w:r>
      <w:r>
        <w:tab/>
        <w:t xml:space="preserve">Small Source Alternative Method. This subsection applies to sources at plants with total solid fuel-fired heat input capacity not exceeding 14.65 MW (50 </w:t>
      </w:r>
      <w:proofErr w:type="spellStart"/>
      <w:r w:rsidR="008546A4">
        <w:t>mm</w:t>
      </w:r>
      <w:r>
        <w:t>Btu</w:t>
      </w:r>
      <w:proofErr w:type="spellEnd"/>
      <w:r>
        <w:t>/</w:t>
      </w:r>
      <w:proofErr w:type="spellStart"/>
      <w:r>
        <w:t>hr</w:t>
      </w:r>
      <w:proofErr w:type="spellEnd"/>
      <w:r>
        <w:t xml:space="preserve">). Compliance or non-compliance with Sections 214.122, 214.141, 214.142(a), 214.162, 214.186 and 214.421 </w:t>
      </w:r>
      <w:proofErr w:type="gramStart"/>
      <w:r>
        <w:t>shall be demonstrated</w:t>
      </w:r>
      <w:proofErr w:type="gramEnd"/>
      <w:r>
        <w:t xml:space="preserve"> by a calendar month average sulfur dioxide emission rate. </w:t>
      </w:r>
    </w:p>
    <w:p w:rsidR="00637239" w:rsidRDefault="00637239" w:rsidP="00B270A7"/>
    <w:p w:rsidR="00815272" w:rsidRDefault="00815272" w:rsidP="00815272">
      <w:pPr>
        <w:widowControl w:val="0"/>
        <w:autoSpaceDE w:val="0"/>
        <w:autoSpaceDN w:val="0"/>
        <w:adjustRightInd w:val="0"/>
        <w:ind w:left="1440" w:hanging="720"/>
      </w:pPr>
      <w:r>
        <w:t>g)</w:t>
      </w:r>
      <w:r>
        <w:tab/>
        <w:t xml:space="preserve">Exemptions. Subsections (c) through (f) shall not apply to sources controlling sulfur dioxide emissions by </w:t>
      </w:r>
      <w:proofErr w:type="gramStart"/>
      <w:r>
        <w:t>flue gas desulfurization equipment</w:t>
      </w:r>
      <w:proofErr w:type="gramEnd"/>
      <w:r>
        <w:t xml:space="preserve"> or by sorbent injection. </w:t>
      </w:r>
    </w:p>
    <w:p w:rsidR="00637239" w:rsidRDefault="00637239" w:rsidP="00B270A7"/>
    <w:p w:rsidR="00815272" w:rsidRDefault="00815272" w:rsidP="00815272">
      <w:pPr>
        <w:widowControl w:val="0"/>
        <w:autoSpaceDE w:val="0"/>
        <w:autoSpaceDN w:val="0"/>
        <w:adjustRightInd w:val="0"/>
        <w:ind w:left="1440" w:hanging="720"/>
      </w:pPr>
      <w:r>
        <w:t>h)</w:t>
      </w:r>
      <w:r>
        <w:tab/>
        <w:t xml:space="preserve">Hydrogen Sulfide Measurement.  For purposes of determining compliance with Section 214.382(c), the concentration of hydrogen sulfide in petroleum refinery fuel gas shall be measured using the Tutwiler Procedure specified in 40 CFR 60.648, incorporated by reference in Section 214.104(d). </w:t>
      </w:r>
    </w:p>
    <w:p w:rsidR="00815272" w:rsidRDefault="00815272" w:rsidP="00B270A7">
      <w:bookmarkStart w:id="0" w:name="_GoBack"/>
    </w:p>
    <w:bookmarkEnd w:id="0"/>
    <w:p w:rsidR="00815272" w:rsidRDefault="008546A4" w:rsidP="004C3EBB">
      <w:pPr>
        <w:ind w:left="720"/>
      </w:pPr>
      <w:r>
        <w:t xml:space="preserve">(Source:  Amended at 39 Ill. Reg. </w:t>
      </w:r>
      <w:r w:rsidR="006D56AD">
        <w:t>16174</w:t>
      </w:r>
      <w:r>
        <w:t xml:space="preserve">, effective </w:t>
      </w:r>
      <w:r w:rsidR="006D56AD">
        <w:t>December 7, 2015</w:t>
      </w:r>
      <w:r>
        <w:t>)</w:t>
      </w:r>
    </w:p>
    <w:sectPr w:rsidR="00815272" w:rsidSect="008152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5272"/>
    <w:rsid w:val="001D1E3D"/>
    <w:rsid w:val="00427244"/>
    <w:rsid w:val="004C3EBB"/>
    <w:rsid w:val="005C3366"/>
    <w:rsid w:val="00637239"/>
    <w:rsid w:val="006D56AD"/>
    <w:rsid w:val="00812C4C"/>
    <w:rsid w:val="00815272"/>
    <w:rsid w:val="00846FD1"/>
    <w:rsid w:val="008546A4"/>
    <w:rsid w:val="009F671C"/>
    <w:rsid w:val="00A96D9F"/>
    <w:rsid w:val="00B270A7"/>
    <w:rsid w:val="00E34559"/>
    <w:rsid w:val="00F9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C78A13-D429-4D2B-84BA-3159771C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King, Melissa A.</cp:lastModifiedBy>
  <cp:revision>4</cp:revision>
  <dcterms:created xsi:type="dcterms:W3CDTF">2015-11-30T17:51:00Z</dcterms:created>
  <dcterms:modified xsi:type="dcterms:W3CDTF">2015-12-15T18:16:00Z</dcterms:modified>
</cp:coreProperties>
</file>