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C11" w:rsidRDefault="00853C11" w:rsidP="00853C11">
      <w:pPr>
        <w:widowControl w:val="0"/>
        <w:autoSpaceDE w:val="0"/>
        <w:autoSpaceDN w:val="0"/>
        <w:adjustRightInd w:val="0"/>
      </w:pPr>
      <w:bookmarkStart w:id="0" w:name="_GoBack"/>
      <w:bookmarkEnd w:id="0"/>
    </w:p>
    <w:p w:rsidR="00853C11" w:rsidRDefault="00853C11" w:rsidP="00853C11">
      <w:pPr>
        <w:widowControl w:val="0"/>
        <w:autoSpaceDE w:val="0"/>
        <w:autoSpaceDN w:val="0"/>
        <w:adjustRightInd w:val="0"/>
      </w:pPr>
      <w:r>
        <w:rPr>
          <w:b/>
          <w:bCs/>
        </w:rPr>
        <w:t>Section 212.107  Measurement Method for Visible Emissions</w:t>
      </w:r>
      <w:r>
        <w:t xml:space="preserve"> </w:t>
      </w:r>
    </w:p>
    <w:p w:rsidR="00853C11" w:rsidRDefault="00853C11" w:rsidP="00853C11">
      <w:pPr>
        <w:widowControl w:val="0"/>
        <w:autoSpaceDE w:val="0"/>
        <w:autoSpaceDN w:val="0"/>
        <w:adjustRightInd w:val="0"/>
      </w:pPr>
    </w:p>
    <w:p w:rsidR="00853C11" w:rsidRDefault="00853C11" w:rsidP="00853C11">
      <w:pPr>
        <w:widowControl w:val="0"/>
        <w:autoSpaceDE w:val="0"/>
        <w:autoSpaceDN w:val="0"/>
        <w:adjustRightInd w:val="0"/>
      </w:pPr>
      <w:r>
        <w:t xml:space="preserve">For both fugitive and nonfugitive particulate matter emissions, a determination as to the presence or absence of visible emissions from emission units shall be conducted in accordance with Method 22, 40 CFR part 60, Appendix A, incorporated by reference in Section 212.113 of this Subpart, except that the length of the observing period shall be at the discretion of the observer, but not less than one minute.  This Subpart shall not apply to Section 212.301 of this Part. </w:t>
      </w:r>
    </w:p>
    <w:p w:rsidR="00853C11" w:rsidRDefault="00853C11" w:rsidP="00853C11">
      <w:pPr>
        <w:widowControl w:val="0"/>
        <w:autoSpaceDE w:val="0"/>
        <w:autoSpaceDN w:val="0"/>
        <w:adjustRightInd w:val="0"/>
      </w:pPr>
    </w:p>
    <w:p w:rsidR="00853C11" w:rsidRDefault="00853C11" w:rsidP="00853C11">
      <w:pPr>
        <w:widowControl w:val="0"/>
        <w:autoSpaceDE w:val="0"/>
        <w:autoSpaceDN w:val="0"/>
        <w:adjustRightInd w:val="0"/>
        <w:ind w:left="1440" w:hanging="720"/>
      </w:pPr>
      <w:r>
        <w:t xml:space="preserve">(Source:  Amended at 20 Ill. Reg. 7605, effective May 22, 1996) </w:t>
      </w:r>
    </w:p>
    <w:sectPr w:rsidR="00853C11" w:rsidSect="00853C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3C11"/>
    <w:rsid w:val="005C3366"/>
    <w:rsid w:val="006A5831"/>
    <w:rsid w:val="00853C11"/>
    <w:rsid w:val="00B24356"/>
    <w:rsid w:val="00C31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