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B7" w:rsidRPr="003279B7" w:rsidRDefault="003279B7" w:rsidP="003279B7">
      <w:bookmarkStart w:id="0" w:name="_GoBack"/>
      <w:bookmarkEnd w:id="0"/>
    </w:p>
    <w:p w:rsidR="003279B7" w:rsidRPr="003279B7" w:rsidRDefault="003279B7" w:rsidP="003279B7">
      <w:pPr>
        <w:autoSpaceDE w:val="0"/>
        <w:autoSpaceDN w:val="0"/>
        <w:adjustRightInd w:val="0"/>
        <w:rPr>
          <w:b/>
        </w:rPr>
      </w:pPr>
      <w:r w:rsidRPr="003279B7">
        <w:rPr>
          <w:b/>
        </w:rPr>
        <w:t>Section 211.5400  Red Coating</w:t>
      </w:r>
    </w:p>
    <w:p w:rsidR="003279B7" w:rsidRPr="003279B7" w:rsidRDefault="003279B7" w:rsidP="003279B7">
      <w:pPr>
        <w:autoSpaceDE w:val="0"/>
        <w:autoSpaceDN w:val="0"/>
        <w:adjustRightInd w:val="0"/>
      </w:pPr>
    </w:p>
    <w:p w:rsidR="003279B7" w:rsidRPr="003279B7" w:rsidRDefault="003279B7" w:rsidP="003279B7">
      <w:pPr>
        <w:autoSpaceDE w:val="0"/>
        <w:autoSpaceDN w:val="0"/>
        <w:adjustRightInd w:val="0"/>
        <w:ind w:left="1440"/>
        <w:rPr>
          <w:rFonts w:eastAsia="TimesNewRoman"/>
        </w:rPr>
      </w:pPr>
      <w:r>
        <w:t>"</w:t>
      </w:r>
      <w:r w:rsidRPr="003279B7">
        <w:t>Red coating</w:t>
      </w:r>
      <w:r>
        <w:t>"</w:t>
      </w:r>
      <w:r w:rsidRPr="003279B7">
        <w:t xml:space="preserve"> means, for purposes of 35 </w:t>
      </w:r>
      <w:smartTag w:uri="urn:schemas-microsoft-com:office:smarttags" w:element="country-region">
        <w:smartTag w:uri="urn:schemas-microsoft-com:office:smarttags" w:element="place">
          <w:r w:rsidRPr="003279B7">
            <w:t>Ill.</w:t>
          </w:r>
        </w:smartTag>
      </w:smartTag>
      <w:r w:rsidRPr="003279B7">
        <w:t xml:space="preserve"> Adm. Code 218 and 219, </w:t>
      </w:r>
      <w:r w:rsidRPr="003279B7">
        <w:rPr>
          <w:rFonts w:eastAsia="TimesNewRoman"/>
        </w:rPr>
        <w:t xml:space="preserve">a coating </w:t>
      </w:r>
      <w:r w:rsidR="00F16DF1">
        <w:rPr>
          <w:rFonts w:eastAsia="TimesNewRoman"/>
        </w:rPr>
        <w:t xml:space="preserve">that </w:t>
      </w:r>
      <w:r w:rsidRPr="003279B7">
        <w:rPr>
          <w:rFonts w:eastAsia="TimesNewRoman"/>
        </w:rPr>
        <w:t>meets all of the following criteria:</w:t>
      </w:r>
    </w:p>
    <w:p w:rsidR="003279B7" w:rsidRPr="003279B7" w:rsidRDefault="003279B7" w:rsidP="003279B7">
      <w:pPr>
        <w:autoSpaceDE w:val="0"/>
        <w:autoSpaceDN w:val="0"/>
        <w:adjustRightInd w:val="0"/>
        <w:rPr>
          <w:rFonts w:eastAsia="TimesNewRoman"/>
        </w:rPr>
      </w:pPr>
    </w:p>
    <w:p w:rsidR="003279B7" w:rsidRPr="003279B7" w:rsidRDefault="003279B7" w:rsidP="003F0FCE">
      <w:pPr>
        <w:autoSpaceDE w:val="0"/>
        <w:autoSpaceDN w:val="0"/>
        <w:adjustRightInd w:val="0"/>
        <w:ind w:left="2160"/>
        <w:rPr>
          <w:rFonts w:eastAsia="TimesNewRoman"/>
        </w:rPr>
      </w:pPr>
      <w:r w:rsidRPr="003279B7">
        <w:rPr>
          <w:rFonts w:eastAsia="TimesNewRoman"/>
        </w:rPr>
        <w:t>Yellow limit: the hue of hostaperm scarlet;</w:t>
      </w:r>
    </w:p>
    <w:p w:rsidR="003279B7" w:rsidRPr="003279B7" w:rsidRDefault="003279B7" w:rsidP="00445BBA">
      <w:pPr>
        <w:autoSpaceDE w:val="0"/>
        <w:autoSpaceDN w:val="0"/>
        <w:adjustRightInd w:val="0"/>
        <w:ind w:left="1440" w:firstLine="720"/>
        <w:rPr>
          <w:rFonts w:eastAsia="TimesNewRoman"/>
        </w:rPr>
      </w:pPr>
    </w:p>
    <w:p w:rsidR="003279B7" w:rsidRPr="003279B7" w:rsidRDefault="003279B7" w:rsidP="003F0FCE">
      <w:pPr>
        <w:autoSpaceDE w:val="0"/>
        <w:autoSpaceDN w:val="0"/>
        <w:adjustRightInd w:val="0"/>
        <w:ind w:left="1440" w:firstLine="720"/>
        <w:rPr>
          <w:rFonts w:eastAsia="TimesNewRoman"/>
        </w:rPr>
      </w:pPr>
      <w:r w:rsidRPr="003279B7">
        <w:rPr>
          <w:rFonts w:eastAsia="TimesNewRoman"/>
        </w:rPr>
        <w:t>Blue limit: the hue of monastral red-violet;</w:t>
      </w:r>
    </w:p>
    <w:p w:rsidR="003279B7" w:rsidRPr="003279B7" w:rsidRDefault="003279B7" w:rsidP="00445BBA">
      <w:pPr>
        <w:autoSpaceDE w:val="0"/>
        <w:autoSpaceDN w:val="0"/>
        <w:adjustRightInd w:val="0"/>
        <w:ind w:left="1440" w:firstLine="720"/>
        <w:rPr>
          <w:rFonts w:eastAsia="TimesNewRoman"/>
        </w:rPr>
      </w:pPr>
    </w:p>
    <w:p w:rsidR="003279B7" w:rsidRPr="003279B7" w:rsidRDefault="003279B7" w:rsidP="003F0FCE">
      <w:pPr>
        <w:autoSpaceDE w:val="0"/>
        <w:autoSpaceDN w:val="0"/>
        <w:adjustRightInd w:val="0"/>
        <w:ind w:left="2160"/>
        <w:rPr>
          <w:rFonts w:eastAsia="TimesNewRoman"/>
        </w:rPr>
      </w:pPr>
      <w:r w:rsidRPr="003279B7">
        <w:rPr>
          <w:rFonts w:eastAsia="TimesNewRoman"/>
        </w:rPr>
        <w:t xml:space="preserve">Lightness limit for </w:t>
      </w:r>
      <w:proofErr w:type="spellStart"/>
      <w:r w:rsidRPr="003279B7">
        <w:rPr>
          <w:rFonts w:eastAsia="TimesNewRoman"/>
        </w:rPr>
        <w:t>metallics</w:t>
      </w:r>
      <w:proofErr w:type="spellEnd"/>
      <w:r w:rsidRPr="003279B7">
        <w:rPr>
          <w:rFonts w:eastAsia="TimesNewRoman"/>
        </w:rPr>
        <w:t>: 35 percent aluminum flake;</w:t>
      </w:r>
    </w:p>
    <w:p w:rsidR="003279B7" w:rsidRPr="003279B7" w:rsidRDefault="003279B7" w:rsidP="00445BBA">
      <w:pPr>
        <w:autoSpaceDE w:val="0"/>
        <w:autoSpaceDN w:val="0"/>
        <w:adjustRightInd w:val="0"/>
        <w:ind w:left="1440" w:firstLine="720"/>
        <w:rPr>
          <w:rFonts w:eastAsia="TimesNewRoman"/>
        </w:rPr>
      </w:pPr>
    </w:p>
    <w:p w:rsidR="003279B7" w:rsidRPr="003279B7" w:rsidRDefault="003279B7" w:rsidP="003F0FCE">
      <w:pPr>
        <w:autoSpaceDE w:val="0"/>
        <w:autoSpaceDN w:val="0"/>
        <w:adjustRightInd w:val="0"/>
        <w:ind w:left="1440" w:firstLine="720"/>
        <w:rPr>
          <w:rFonts w:eastAsia="TimesNewRoman"/>
        </w:rPr>
      </w:pPr>
      <w:r w:rsidRPr="003279B7">
        <w:rPr>
          <w:rFonts w:eastAsia="TimesNewRoman"/>
        </w:rPr>
        <w:t>Lightness limit for solids: 50 percent titanium dioxide white;</w:t>
      </w:r>
    </w:p>
    <w:p w:rsidR="003279B7" w:rsidRPr="003279B7" w:rsidRDefault="003279B7" w:rsidP="00445BBA">
      <w:pPr>
        <w:autoSpaceDE w:val="0"/>
        <w:autoSpaceDN w:val="0"/>
        <w:adjustRightInd w:val="0"/>
        <w:ind w:left="1440" w:firstLine="720"/>
        <w:rPr>
          <w:rFonts w:eastAsia="TimesNewRoman"/>
        </w:rPr>
      </w:pPr>
    </w:p>
    <w:p w:rsidR="003279B7" w:rsidRPr="003279B7" w:rsidRDefault="003279B7" w:rsidP="003F0FCE">
      <w:pPr>
        <w:autoSpaceDE w:val="0"/>
        <w:autoSpaceDN w:val="0"/>
        <w:adjustRightInd w:val="0"/>
        <w:ind w:left="2160"/>
        <w:rPr>
          <w:rFonts w:eastAsia="TimesNewRoman"/>
        </w:rPr>
      </w:pPr>
      <w:r w:rsidRPr="003279B7">
        <w:rPr>
          <w:rFonts w:eastAsia="TimesNewRoman"/>
        </w:rPr>
        <w:t>Solid reds: hue angle of -11 to 38</w:t>
      </w:r>
      <w:r w:rsidR="004533F5">
        <w:t>°</w:t>
      </w:r>
      <w:r w:rsidRPr="003279B7">
        <w:rPr>
          <w:rFonts w:eastAsia="TimesNewRoman"/>
        </w:rPr>
        <w:t xml:space="preserve"> and maximum lightness of 23 to 45 units; and</w:t>
      </w:r>
    </w:p>
    <w:p w:rsidR="003279B7" w:rsidRPr="003279B7" w:rsidRDefault="003279B7" w:rsidP="00445BBA">
      <w:pPr>
        <w:autoSpaceDE w:val="0"/>
        <w:autoSpaceDN w:val="0"/>
        <w:adjustRightInd w:val="0"/>
        <w:ind w:left="1440" w:firstLine="720"/>
        <w:rPr>
          <w:rFonts w:eastAsia="TimesNewRoman"/>
        </w:rPr>
      </w:pPr>
    </w:p>
    <w:p w:rsidR="003279B7" w:rsidRPr="003279B7" w:rsidRDefault="003279B7" w:rsidP="003F0FCE">
      <w:pPr>
        <w:autoSpaceDE w:val="0"/>
        <w:autoSpaceDN w:val="0"/>
        <w:adjustRightInd w:val="0"/>
        <w:ind w:left="2160"/>
        <w:rPr>
          <w:rFonts w:eastAsia="TimesNewRoman"/>
        </w:rPr>
      </w:pPr>
      <w:r w:rsidRPr="003279B7">
        <w:rPr>
          <w:rFonts w:eastAsia="TimesNewRoman"/>
        </w:rPr>
        <w:t>Metallic reds: hue angle of -16 to 35</w:t>
      </w:r>
      <w:r w:rsidR="004533F5">
        <w:t>°</w:t>
      </w:r>
      <w:r w:rsidRPr="003279B7">
        <w:rPr>
          <w:rFonts w:eastAsia="TimesNewRoman"/>
        </w:rPr>
        <w:t xml:space="preserve"> and maximum lightness of 28 to 45</w:t>
      </w:r>
      <w:r>
        <w:rPr>
          <w:rFonts w:eastAsia="TimesNewRoman"/>
        </w:rPr>
        <w:t xml:space="preserve"> </w:t>
      </w:r>
      <w:r w:rsidRPr="003279B7">
        <w:rPr>
          <w:rFonts w:eastAsia="TimesNewRoman"/>
        </w:rPr>
        <w:t>units.</w:t>
      </w:r>
    </w:p>
    <w:p w:rsidR="003279B7" w:rsidRPr="003279B7" w:rsidRDefault="003279B7" w:rsidP="003279B7">
      <w:pPr>
        <w:autoSpaceDE w:val="0"/>
        <w:autoSpaceDN w:val="0"/>
        <w:adjustRightInd w:val="0"/>
        <w:rPr>
          <w:rFonts w:eastAsia="TimesNewRoman"/>
        </w:rPr>
      </w:pPr>
    </w:p>
    <w:p w:rsidR="003279B7" w:rsidRPr="003279B7" w:rsidRDefault="003279B7" w:rsidP="003F0FCE">
      <w:pPr>
        <w:autoSpaceDE w:val="0"/>
        <w:autoSpaceDN w:val="0"/>
        <w:adjustRightInd w:val="0"/>
        <w:ind w:left="1881"/>
        <w:rPr>
          <w:rFonts w:eastAsia="TimesNewRoman"/>
        </w:rPr>
      </w:pPr>
      <w:r w:rsidRPr="003279B7">
        <w:rPr>
          <w:rFonts w:eastAsia="TimesNewRoman"/>
        </w:rPr>
        <w:t>These criteria are based on Cielab color space, 0/45 geometry. For spherical geometry,</w:t>
      </w:r>
      <w:r>
        <w:rPr>
          <w:rFonts w:eastAsia="TimesNewRoman"/>
        </w:rPr>
        <w:t xml:space="preserve"> </w:t>
      </w:r>
      <w:r w:rsidRPr="003279B7">
        <w:rPr>
          <w:rFonts w:eastAsia="TimesNewRoman"/>
        </w:rPr>
        <w:t xml:space="preserve">specular included, the upper limit is 49 units. </w:t>
      </w:r>
    </w:p>
    <w:p w:rsidR="003279B7" w:rsidRPr="003279B7" w:rsidRDefault="003279B7" w:rsidP="003279B7"/>
    <w:p w:rsidR="003279B7" w:rsidRPr="00D55B37" w:rsidRDefault="003279B7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B16696">
        <w:t>1411</w:t>
      </w:r>
      <w:r w:rsidR="00A51CEF">
        <w:t>9</w:t>
      </w:r>
      <w:r w:rsidRPr="00D55B37">
        <w:t xml:space="preserve">, effective </w:t>
      </w:r>
      <w:r w:rsidR="00B16696">
        <w:t>September 14, 2010</w:t>
      </w:r>
      <w:r w:rsidRPr="00D55B37">
        <w:t>)</w:t>
      </w:r>
    </w:p>
    <w:sectPr w:rsidR="003279B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D1" w:rsidRDefault="004D4ED1">
      <w:r>
        <w:separator/>
      </w:r>
    </w:p>
  </w:endnote>
  <w:endnote w:type="continuationSeparator" w:id="0">
    <w:p w:rsidR="004D4ED1" w:rsidRDefault="004D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D1" w:rsidRDefault="004D4ED1">
      <w:r>
        <w:separator/>
      </w:r>
    </w:p>
  </w:footnote>
  <w:footnote w:type="continuationSeparator" w:id="0">
    <w:p w:rsidR="004D4ED1" w:rsidRDefault="004D4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2E27"/>
    <w:rsid w:val="00001F1D"/>
    <w:rsid w:val="00003CEF"/>
    <w:rsid w:val="00011A7D"/>
    <w:rsid w:val="000122C7"/>
    <w:rsid w:val="00014324"/>
    <w:rsid w:val="000158C8"/>
    <w:rsid w:val="00016F74"/>
    <w:rsid w:val="0001772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149C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9B7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0FCE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5BBA"/>
    <w:rsid w:val="004533F5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4ED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0FE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20A"/>
    <w:rsid w:val="006A042E"/>
    <w:rsid w:val="006A2114"/>
    <w:rsid w:val="006A72FE"/>
    <w:rsid w:val="006B3E84"/>
    <w:rsid w:val="006B5C47"/>
    <w:rsid w:val="006B7535"/>
    <w:rsid w:val="006B7892"/>
    <w:rsid w:val="006C0FE8"/>
    <w:rsid w:val="006C2E27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6A81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10E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1CEF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FEB"/>
    <w:rsid w:val="00B15414"/>
    <w:rsid w:val="00B16696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BBD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4943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6DF1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9B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9B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