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C0" w:rsidRDefault="007968C0" w:rsidP="007968C0">
      <w:pPr>
        <w:autoSpaceDE w:val="0"/>
        <w:ind w:left="1440" w:hanging="1440"/>
        <w:rPr>
          <w:b/>
        </w:rPr>
      </w:pPr>
      <w:bookmarkStart w:id="0" w:name="_GoBack"/>
      <w:bookmarkEnd w:id="0"/>
    </w:p>
    <w:p w:rsidR="007968C0" w:rsidRPr="00CE1CDC" w:rsidRDefault="007968C0" w:rsidP="007968C0">
      <w:pPr>
        <w:autoSpaceDE w:val="0"/>
        <w:ind w:left="1440" w:hanging="1440"/>
        <w:rPr>
          <w:b/>
        </w:rPr>
      </w:pPr>
      <w:r w:rsidRPr="00CE1CDC">
        <w:rPr>
          <w:b/>
        </w:rPr>
        <w:t>Section 211.4460  Panel</w:t>
      </w:r>
    </w:p>
    <w:p w:rsidR="007968C0" w:rsidRPr="00CE1CDC" w:rsidRDefault="007968C0" w:rsidP="007968C0">
      <w:pPr>
        <w:autoSpaceDE w:val="0"/>
        <w:ind w:left="1440" w:hanging="1440"/>
      </w:pPr>
    </w:p>
    <w:p w:rsidR="007968C0" w:rsidRPr="00CE1CDC" w:rsidRDefault="007968C0" w:rsidP="007968C0">
      <w:pPr>
        <w:rPr>
          <w:color w:val="000000"/>
        </w:rPr>
      </w:pPr>
      <w:r>
        <w:rPr>
          <w:color w:val="000000"/>
        </w:rPr>
        <w:t>"</w:t>
      </w:r>
      <w:r w:rsidRPr="00CE1CDC">
        <w:rPr>
          <w:color w:val="000000"/>
        </w:rPr>
        <w:t>Panel</w:t>
      </w:r>
      <w:r>
        <w:rPr>
          <w:color w:val="000000"/>
        </w:rPr>
        <w:t>"</w:t>
      </w:r>
      <w:r w:rsidRPr="00CE1CDC">
        <w:rPr>
          <w:color w:val="000000"/>
        </w:rPr>
        <w:t xml:space="preserve"> means a flat piece of wood or wood product usually rectangular and used inside homes and mobile homes for wall decorations.</w:t>
      </w:r>
    </w:p>
    <w:p w:rsidR="001C71C2" w:rsidRDefault="001C71C2" w:rsidP="00691C08"/>
    <w:p w:rsidR="007968C0" w:rsidRPr="00D55B37" w:rsidRDefault="007968C0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56D03">
        <w:t>13451</w:t>
      </w:r>
      <w:r w:rsidRPr="00D55B37">
        <w:t xml:space="preserve">, effective </w:t>
      </w:r>
      <w:r w:rsidR="00556D03">
        <w:t>July 27, 2011</w:t>
      </w:r>
      <w:r w:rsidRPr="00D55B37">
        <w:t>)</w:t>
      </w:r>
    </w:p>
    <w:sectPr w:rsidR="007968C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11" w:rsidRDefault="00085711">
      <w:r>
        <w:separator/>
      </w:r>
    </w:p>
  </w:endnote>
  <w:endnote w:type="continuationSeparator" w:id="0">
    <w:p w:rsidR="00085711" w:rsidRDefault="000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11" w:rsidRDefault="00085711">
      <w:r>
        <w:separator/>
      </w:r>
    </w:p>
  </w:footnote>
  <w:footnote w:type="continuationSeparator" w:id="0">
    <w:p w:rsidR="00085711" w:rsidRDefault="0008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41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711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4416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385B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D0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C61"/>
    <w:rsid w:val="00634D17"/>
    <w:rsid w:val="006361A4"/>
    <w:rsid w:val="00641AEA"/>
    <w:rsid w:val="006443A1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8C0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F4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8C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8C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