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6D" w:rsidRDefault="00C7586D" w:rsidP="00C758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586D" w:rsidRDefault="00C7586D" w:rsidP="00C758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211.3470  Load-Out Area</w:t>
      </w:r>
      <w:r>
        <w:t xml:space="preserve"> </w:t>
      </w:r>
    </w:p>
    <w:p w:rsidR="00C7586D" w:rsidRDefault="00C7586D" w:rsidP="00C7586D">
      <w:pPr>
        <w:widowControl w:val="0"/>
        <w:autoSpaceDE w:val="0"/>
        <w:autoSpaceDN w:val="0"/>
        <w:adjustRightInd w:val="0"/>
      </w:pPr>
    </w:p>
    <w:p w:rsidR="00C7586D" w:rsidRDefault="00C7586D" w:rsidP="00C7586D">
      <w:pPr>
        <w:widowControl w:val="0"/>
        <w:autoSpaceDE w:val="0"/>
        <w:autoSpaceDN w:val="0"/>
        <w:adjustRightInd w:val="0"/>
      </w:pPr>
      <w:r>
        <w:t xml:space="preserve">"Load-out area" means any area where grain is transferred from the grain-handling operation to any vehicle for shipment or delivery. </w:t>
      </w:r>
    </w:p>
    <w:p w:rsidR="00C7586D" w:rsidRDefault="00C7586D" w:rsidP="00C7586D">
      <w:pPr>
        <w:widowControl w:val="0"/>
        <w:autoSpaceDE w:val="0"/>
        <w:autoSpaceDN w:val="0"/>
        <w:adjustRightInd w:val="0"/>
      </w:pPr>
    </w:p>
    <w:p w:rsidR="00C7586D" w:rsidRDefault="00C7586D" w:rsidP="00C758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7586D" w:rsidSect="00C75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86D"/>
    <w:rsid w:val="0003321F"/>
    <w:rsid w:val="005C3366"/>
    <w:rsid w:val="00860D1A"/>
    <w:rsid w:val="00B73F4F"/>
    <w:rsid w:val="00C7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