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BB" w:rsidRDefault="007B45BB" w:rsidP="007B45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45BB" w:rsidRDefault="007B45BB" w:rsidP="007B45BB">
      <w:pPr>
        <w:widowControl w:val="0"/>
        <w:autoSpaceDE w:val="0"/>
        <w:autoSpaceDN w:val="0"/>
        <w:adjustRightInd w:val="0"/>
        <w:jc w:val="center"/>
      </w:pPr>
      <w:r>
        <w:t>SUBPART B:  MAJOR STATIONARY SOURCES IN</w:t>
      </w:r>
    </w:p>
    <w:p w:rsidR="007B45BB" w:rsidRDefault="007B45BB" w:rsidP="007B45BB">
      <w:pPr>
        <w:widowControl w:val="0"/>
        <w:autoSpaceDE w:val="0"/>
        <w:autoSpaceDN w:val="0"/>
        <w:adjustRightInd w:val="0"/>
        <w:jc w:val="center"/>
      </w:pPr>
      <w:r>
        <w:t>NONATTAINMENT AREAS</w:t>
      </w:r>
    </w:p>
    <w:sectPr w:rsidR="007B45BB" w:rsidSect="007B45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45BB"/>
    <w:rsid w:val="005C3366"/>
    <w:rsid w:val="006D6239"/>
    <w:rsid w:val="007B45BB"/>
    <w:rsid w:val="00B71374"/>
    <w:rsid w:val="00C9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MAJOR STATIONARY SOURCES IN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MAJOR STATIONARY SOURCES IN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