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4E" w:rsidRDefault="00534B4E" w:rsidP="00534B4E">
      <w:pPr>
        <w:widowControl w:val="0"/>
        <w:autoSpaceDE w:val="0"/>
        <w:autoSpaceDN w:val="0"/>
        <w:adjustRightInd w:val="0"/>
      </w:pPr>
      <w:bookmarkStart w:id="0" w:name="_GoBack"/>
      <w:bookmarkEnd w:id="0"/>
    </w:p>
    <w:p w:rsidR="00534B4E" w:rsidRDefault="00534B4E" w:rsidP="00534B4E">
      <w:pPr>
        <w:widowControl w:val="0"/>
        <w:autoSpaceDE w:val="0"/>
        <w:autoSpaceDN w:val="0"/>
        <w:adjustRightInd w:val="0"/>
      </w:pPr>
      <w:r>
        <w:rPr>
          <w:b/>
          <w:bCs/>
        </w:rPr>
        <w:t>Section 168.265  Conduct of the Hearing</w:t>
      </w:r>
      <w:r>
        <w:t xml:space="preserve"> </w:t>
      </w:r>
    </w:p>
    <w:p w:rsidR="00534B4E" w:rsidRDefault="00534B4E" w:rsidP="00534B4E">
      <w:pPr>
        <w:widowControl w:val="0"/>
        <w:autoSpaceDE w:val="0"/>
        <w:autoSpaceDN w:val="0"/>
        <w:adjustRightInd w:val="0"/>
      </w:pPr>
    </w:p>
    <w:p w:rsidR="00534B4E" w:rsidRDefault="00534B4E" w:rsidP="00534B4E">
      <w:pPr>
        <w:widowControl w:val="0"/>
        <w:autoSpaceDE w:val="0"/>
        <w:autoSpaceDN w:val="0"/>
        <w:adjustRightInd w:val="0"/>
        <w:ind w:left="1440" w:hanging="720"/>
      </w:pPr>
      <w:r>
        <w:t>a)</w:t>
      </w:r>
      <w:r>
        <w:tab/>
        <w:t xml:space="preserve">All testimony taken at hearings shall be under oath or affirmation. </w:t>
      </w:r>
    </w:p>
    <w:p w:rsidR="00E45921" w:rsidRDefault="00E45921" w:rsidP="00534B4E">
      <w:pPr>
        <w:widowControl w:val="0"/>
        <w:autoSpaceDE w:val="0"/>
        <w:autoSpaceDN w:val="0"/>
        <w:adjustRightInd w:val="0"/>
        <w:ind w:left="1440" w:hanging="720"/>
      </w:pPr>
    </w:p>
    <w:p w:rsidR="00534B4E" w:rsidRDefault="00534B4E" w:rsidP="00534B4E">
      <w:pPr>
        <w:widowControl w:val="0"/>
        <w:autoSpaceDE w:val="0"/>
        <w:autoSpaceDN w:val="0"/>
        <w:adjustRightInd w:val="0"/>
        <w:ind w:left="1440" w:hanging="720"/>
      </w:pPr>
      <w:r>
        <w:t>b)</w:t>
      </w:r>
      <w:r>
        <w:tab/>
        <w:t xml:space="preserve">All motions and objections made during a hearing shall be stated in writing or orally on the record, including the grounds for such objections.  The Hearing Officer shall rule on said motions either in writing or orally on the record, and shall state the grounds for such ruling. </w:t>
      </w:r>
    </w:p>
    <w:p w:rsidR="00E45921" w:rsidRDefault="00E45921" w:rsidP="00534B4E">
      <w:pPr>
        <w:widowControl w:val="0"/>
        <w:autoSpaceDE w:val="0"/>
        <w:autoSpaceDN w:val="0"/>
        <w:adjustRightInd w:val="0"/>
        <w:ind w:left="1440" w:hanging="720"/>
      </w:pPr>
    </w:p>
    <w:p w:rsidR="00534B4E" w:rsidRDefault="00534B4E" w:rsidP="00534B4E">
      <w:pPr>
        <w:widowControl w:val="0"/>
        <w:autoSpaceDE w:val="0"/>
        <w:autoSpaceDN w:val="0"/>
        <w:adjustRightInd w:val="0"/>
        <w:ind w:left="1440" w:hanging="720"/>
      </w:pPr>
      <w:r>
        <w:t>c)</w:t>
      </w:r>
      <w:r>
        <w:tab/>
        <w:t xml:space="preserve">The parties shall proceed at all stages of the hearing including opening and closing statements, the offering of evidence, and examination of witnesses, in the order in which they appear in the pleadings unless otherwise agreed by the parties or ordered by the Hearing Officer pursuant to the Hearing Officer's authority under Section 168.260(a).  In consolidated cases or where intervention has been granted the Hearing Officer shall designate the order. </w:t>
      </w:r>
    </w:p>
    <w:sectPr w:rsidR="00534B4E" w:rsidSect="00534B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4B4E"/>
    <w:rsid w:val="002A779D"/>
    <w:rsid w:val="00534B4E"/>
    <w:rsid w:val="005C3366"/>
    <w:rsid w:val="006B7951"/>
    <w:rsid w:val="00E0167E"/>
    <w:rsid w:val="00E4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