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C" w:rsidRDefault="004B7DFC" w:rsidP="004B7D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DFC" w:rsidRDefault="004B7DFC" w:rsidP="004B7D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166.192  Contents of Responsiveness Summary</w:t>
      </w:r>
      <w:r>
        <w:t xml:space="preserve"> </w:t>
      </w:r>
    </w:p>
    <w:p w:rsidR="004B7DFC" w:rsidRDefault="004B7DFC" w:rsidP="004B7DFC">
      <w:pPr>
        <w:widowControl w:val="0"/>
        <w:autoSpaceDE w:val="0"/>
        <w:autoSpaceDN w:val="0"/>
        <w:adjustRightInd w:val="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C4379">
        <w:t>A r</w:t>
      </w:r>
      <w:r>
        <w:t xml:space="preserve">esponsiveness summary shall be prepared by the Agency.  The responsiveness summary shall include: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identification of the public participation activity conducted;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Description of the matter on which the public was consulted;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estimate of the number of persons present at the hearing;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summary of all the views, significant comments, criticisms, and suggestions, whether written or oral, submitted at the hearing or during the time the hearing record was open;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Agency's specific response to all significant comments, criticisms, and suggestions; and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216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of Agency action, including when applicable the issuance or denial of the permit or closure plan. </w:t>
      </w:r>
    </w:p>
    <w:p w:rsidR="006F6714" w:rsidRDefault="006F6714" w:rsidP="004B7DFC">
      <w:pPr>
        <w:widowControl w:val="0"/>
        <w:autoSpaceDE w:val="0"/>
        <w:autoSpaceDN w:val="0"/>
        <w:adjustRightInd w:val="0"/>
        <w:ind w:left="1440" w:hanging="720"/>
      </w:pPr>
    </w:p>
    <w:p w:rsidR="004B7DFC" w:rsidRDefault="004B7DFC" w:rsidP="004B7D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responsiveness summary shall be available to the public upon request to the Agency. </w:t>
      </w:r>
    </w:p>
    <w:sectPr w:rsidR="004B7DFC" w:rsidSect="004B7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DFC"/>
    <w:rsid w:val="001E4795"/>
    <w:rsid w:val="003C4379"/>
    <w:rsid w:val="004B7DFC"/>
    <w:rsid w:val="005C3366"/>
    <w:rsid w:val="006F6714"/>
    <w:rsid w:val="00C04A2B"/>
    <w:rsid w:val="00E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