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93" w:rsidRDefault="00525593" w:rsidP="00525593">
      <w:pPr>
        <w:widowControl w:val="0"/>
        <w:autoSpaceDE w:val="0"/>
        <w:autoSpaceDN w:val="0"/>
        <w:adjustRightInd w:val="0"/>
      </w:pPr>
      <w:bookmarkStart w:id="0" w:name="_GoBack"/>
      <w:bookmarkEnd w:id="0"/>
    </w:p>
    <w:p w:rsidR="00525593" w:rsidRDefault="00525593" w:rsidP="00525593">
      <w:pPr>
        <w:widowControl w:val="0"/>
        <w:autoSpaceDE w:val="0"/>
        <w:autoSpaceDN w:val="0"/>
        <w:adjustRightInd w:val="0"/>
      </w:pPr>
      <w:r>
        <w:rPr>
          <w:b/>
          <w:bCs/>
        </w:rPr>
        <w:t>Section 107.504  Decision Deadline</w:t>
      </w:r>
      <w:r>
        <w:t xml:space="preserve"> </w:t>
      </w:r>
    </w:p>
    <w:p w:rsidR="00525593" w:rsidRDefault="00525593" w:rsidP="00525593">
      <w:pPr>
        <w:widowControl w:val="0"/>
        <w:autoSpaceDE w:val="0"/>
        <w:autoSpaceDN w:val="0"/>
        <w:adjustRightInd w:val="0"/>
      </w:pPr>
    </w:p>
    <w:p w:rsidR="00525593" w:rsidRDefault="00525593" w:rsidP="00525593">
      <w:pPr>
        <w:widowControl w:val="0"/>
        <w:autoSpaceDE w:val="0"/>
        <w:autoSpaceDN w:val="0"/>
        <w:adjustRightInd w:val="0"/>
      </w:pPr>
      <w:r>
        <w:t xml:space="preserve">In accordance with Section 40.1 of the Act only the applicant for siting may waive the decision deadline.  Unless the applicant for siting waives the decision deadline in accordance with 35 Ill. Adm. Code 101.308 of the Board's general procedural rules, the Board will issue its decision within 120 days after the proper filing and service of a petition for review. </w:t>
      </w:r>
    </w:p>
    <w:sectPr w:rsidR="00525593" w:rsidSect="005255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593"/>
    <w:rsid w:val="00525593"/>
    <w:rsid w:val="005C3366"/>
    <w:rsid w:val="00A22E7A"/>
    <w:rsid w:val="00AD7352"/>
    <w:rsid w:val="00FB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