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D0" w:rsidRPr="004B7FD0" w:rsidRDefault="004B7FD0" w:rsidP="004B7FD0">
      <w:pPr>
        <w:spacing w:after="0" w:line="240" w:lineRule="auto"/>
        <w:rPr>
          <w:rFonts w:ascii="Times New Roman" w:eastAsia="Times New Roman" w:hAnsi="Times New Roman" w:cs="Times New Roman"/>
          <w:sz w:val="24"/>
          <w:szCs w:val="24"/>
        </w:rPr>
      </w:pPr>
    </w:p>
    <w:p w:rsidR="004B7FD0" w:rsidRPr="004B7FD0" w:rsidRDefault="004B7FD0" w:rsidP="004B7FD0">
      <w:pPr>
        <w:spacing w:after="0" w:line="240" w:lineRule="auto"/>
        <w:rPr>
          <w:rFonts w:ascii="Times New Roman" w:eastAsia="Times New Roman" w:hAnsi="Times New Roman" w:cs="Times New Roman"/>
          <w:sz w:val="24"/>
          <w:szCs w:val="24"/>
        </w:rPr>
      </w:pPr>
      <w:r w:rsidRPr="004B7FD0">
        <w:rPr>
          <w:rFonts w:ascii="Times New Roman" w:eastAsia="Times New Roman" w:hAnsi="Times New Roman" w:cs="Times New Roman"/>
          <w:b/>
          <w:sz w:val="24"/>
          <w:szCs w:val="24"/>
        </w:rPr>
        <w:t>Section 104.234  Hearing</w:t>
      </w:r>
      <w:r w:rsidRPr="004B7FD0">
        <w:rPr>
          <w:rFonts w:ascii="Times New Roman" w:eastAsia="Times New Roman" w:hAnsi="Times New Roman" w:cs="Times New Roman"/>
          <w:sz w:val="24"/>
          <w:szCs w:val="24"/>
        </w:rPr>
        <w:t xml:space="preserve"> </w:t>
      </w:r>
    </w:p>
    <w:p w:rsidR="004B7FD0" w:rsidRPr="004B7FD0" w:rsidRDefault="004B7FD0" w:rsidP="004B7FD0">
      <w:pPr>
        <w:spacing w:after="0" w:line="240" w:lineRule="auto"/>
        <w:rPr>
          <w:rFonts w:ascii="Times New Roman" w:eastAsia="Times New Roman" w:hAnsi="Times New Roman" w:cs="Times New Roman"/>
          <w:sz w:val="24"/>
          <w:szCs w:val="24"/>
        </w:rPr>
      </w:pPr>
    </w:p>
    <w:p w:rsidR="004B7FD0" w:rsidRPr="004B7FD0" w:rsidRDefault="004B7FD0" w:rsidP="004B7FD0">
      <w:pPr>
        <w:spacing w:after="0" w:line="240" w:lineRule="auto"/>
        <w:rPr>
          <w:rFonts w:ascii="Times New Roman" w:eastAsia="Times New Roman" w:hAnsi="Times New Roman" w:cs="Times New Roman"/>
          <w:sz w:val="24"/>
          <w:szCs w:val="24"/>
        </w:rPr>
      </w:pPr>
      <w:r w:rsidRPr="004B7FD0">
        <w:rPr>
          <w:rFonts w:ascii="Times New Roman" w:eastAsia="Times New Roman" w:hAnsi="Times New Roman" w:cs="Times New Roman"/>
          <w:sz w:val="24"/>
          <w:szCs w:val="24"/>
        </w:rPr>
        <w:t xml:space="preserve">The Board will order a hearing on a variance petition if: </w:t>
      </w:r>
    </w:p>
    <w:p w:rsidR="004B7FD0" w:rsidRDefault="004B7FD0" w:rsidP="004B7FD0">
      <w:pPr>
        <w:spacing w:after="0" w:line="240" w:lineRule="auto"/>
        <w:rPr>
          <w:rFonts w:ascii="Times New Roman" w:eastAsia="Times New Roman" w:hAnsi="Times New Roman" w:cs="Times New Roman"/>
          <w:sz w:val="24"/>
          <w:szCs w:val="24"/>
        </w:rPr>
      </w:pPr>
    </w:p>
    <w:p w:rsidR="004B7FD0" w:rsidRPr="004B7FD0" w:rsidRDefault="004B7FD0" w:rsidP="004B7FD0">
      <w:pPr>
        <w:spacing w:after="0" w:line="240" w:lineRule="auto"/>
        <w:ind w:left="1440" w:hanging="720"/>
        <w:rPr>
          <w:rFonts w:ascii="Times New Roman" w:eastAsia="Times New Roman" w:hAnsi="Times New Roman" w:cs="Times New Roman"/>
          <w:sz w:val="24"/>
          <w:szCs w:val="24"/>
        </w:rPr>
      </w:pPr>
      <w:r w:rsidRPr="004B7FD0">
        <w:rPr>
          <w:rFonts w:ascii="Times New Roman" w:eastAsia="Times New Roman" w:hAnsi="Times New Roman" w:cs="Times New Roman"/>
          <w:sz w:val="24"/>
          <w:szCs w:val="24"/>
        </w:rPr>
        <w:t>a)</w:t>
      </w:r>
      <w:r w:rsidRPr="004B7FD0">
        <w:rPr>
          <w:rFonts w:ascii="Times New Roman" w:eastAsia="Times New Roman" w:hAnsi="Times New Roman" w:cs="Times New Roman"/>
          <w:sz w:val="24"/>
          <w:szCs w:val="24"/>
        </w:rPr>
        <w:tab/>
        <w:t xml:space="preserve">A hearing is requested by the petitioner at the time of initial filing on the associated form or in writing, which is filed and served in accordance with 35 Ill. Adm. Code 101.Subpart C; </w:t>
      </w:r>
    </w:p>
    <w:p w:rsidR="004B7FD0" w:rsidRDefault="004B7FD0" w:rsidP="004B7FD0">
      <w:pPr>
        <w:spacing w:after="0" w:line="240" w:lineRule="auto"/>
        <w:rPr>
          <w:rFonts w:ascii="Times New Roman" w:eastAsia="Times New Roman" w:hAnsi="Times New Roman" w:cs="Times New Roman"/>
          <w:sz w:val="24"/>
          <w:szCs w:val="24"/>
        </w:rPr>
      </w:pPr>
    </w:p>
    <w:p w:rsidR="004B7FD0" w:rsidRPr="009511DD" w:rsidRDefault="004B7FD0" w:rsidP="009511DD">
      <w:pPr>
        <w:spacing w:after="0" w:line="240" w:lineRule="auto"/>
        <w:ind w:firstLine="720"/>
        <w:rPr>
          <w:rFonts w:ascii="Times New Roman" w:eastAsia="Times New Roman" w:hAnsi="Times New Roman" w:cs="Times New Roman"/>
          <w:sz w:val="24"/>
          <w:szCs w:val="24"/>
        </w:rPr>
      </w:pPr>
      <w:r w:rsidRPr="009511DD">
        <w:rPr>
          <w:rFonts w:ascii="Times New Roman" w:eastAsia="Times New Roman" w:hAnsi="Times New Roman" w:cs="Times New Roman"/>
          <w:sz w:val="24"/>
          <w:szCs w:val="24"/>
        </w:rPr>
        <w:t>b)</w:t>
      </w:r>
      <w:r w:rsidRPr="009511DD">
        <w:rPr>
          <w:rFonts w:ascii="Times New Roman" w:eastAsia="Times New Roman" w:hAnsi="Times New Roman" w:cs="Times New Roman"/>
          <w:sz w:val="24"/>
          <w:szCs w:val="24"/>
        </w:rPr>
        <w:tab/>
        <w:t xml:space="preserve">A hearing is requested in a response or amended petition; </w:t>
      </w:r>
    </w:p>
    <w:p w:rsidR="004B7FD0" w:rsidRPr="009511DD" w:rsidRDefault="004B7FD0" w:rsidP="009511DD">
      <w:pPr>
        <w:spacing w:after="0" w:line="240" w:lineRule="auto"/>
        <w:rPr>
          <w:rFonts w:ascii="Times New Roman" w:eastAsia="Times New Roman" w:hAnsi="Times New Roman" w:cs="Times New Roman"/>
          <w:sz w:val="24"/>
          <w:szCs w:val="24"/>
        </w:rPr>
      </w:pPr>
    </w:p>
    <w:p w:rsidR="004B7FD0" w:rsidRPr="009511DD" w:rsidRDefault="004B7FD0" w:rsidP="009511DD">
      <w:pPr>
        <w:spacing w:after="0" w:line="240" w:lineRule="auto"/>
        <w:ind w:left="1440" w:hanging="720"/>
        <w:rPr>
          <w:rFonts w:ascii="Times New Roman" w:eastAsia="Times New Roman" w:hAnsi="Times New Roman" w:cs="Times New Roman"/>
          <w:sz w:val="24"/>
          <w:szCs w:val="24"/>
        </w:rPr>
      </w:pPr>
      <w:r w:rsidRPr="009511DD">
        <w:rPr>
          <w:rFonts w:ascii="Times New Roman" w:eastAsia="Times New Roman" w:hAnsi="Times New Roman" w:cs="Times New Roman"/>
          <w:sz w:val="24"/>
          <w:szCs w:val="24"/>
        </w:rPr>
        <w:t>c)</w:t>
      </w:r>
      <w:r w:rsidRPr="009511DD">
        <w:rPr>
          <w:rFonts w:ascii="Times New Roman" w:eastAsia="Times New Roman" w:hAnsi="Times New Roman" w:cs="Times New Roman"/>
          <w:sz w:val="24"/>
          <w:szCs w:val="24"/>
        </w:rPr>
        <w:tab/>
      </w:r>
      <w:r w:rsidRPr="009511DD">
        <w:rPr>
          <w:rFonts w:ascii="Times New Roman" w:eastAsia="Times New Roman" w:hAnsi="Times New Roman" w:cs="Times New Roman"/>
          <w:i/>
          <w:sz w:val="24"/>
          <w:szCs w:val="24"/>
        </w:rPr>
        <w:t>The Board, in its discretion, concludes that a hearing would be advisable</w:t>
      </w:r>
      <w:r w:rsidRPr="009511DD">
        <w:rPr>
          <w:rFonts w:ascii="Times New Roman" w:eastAsia="Times New Roman" w:hAnsi="Times New Roman" w:cs="Times New Roman"/>
          <w:sz w:val="24"/>
          <w:szCs w:val="24"/>
        </w:rPr>
        <w:t xml:space="preserve"> [415 ILCS 5/37(a)]; </w:t>
      </w:r>
    </w:p>
    <w:p w:rsidR="004B7FD0" w:rsidRPr="009511DD" w:rsidRDefault="004B7FD0" w:rsidP="009511DD">
      <w:pPr>
        <w:spacing w:after="0" w:line="240" w:lineRule="auto"/>
        <w:rPr>
          <w:rFonts w:ascii="Times New Roman" w:eastAsia="Times New Roman" w:hAnsi="Times New Roman" w:cs="Times New Roman"/>
          <w:sz w:val="24"/>
          <w:szCs w:val="24"/>
        </w:rPr>
      </w:pPr>
    </w:p>
    <w:p w:rsidR="004B7FD0" w:rsidRPr="009511DD" w:rsidRDefault="004B7FD0" w:rsidP="009511DD">
      <w:pPr>
        <w:spacing w:after="0" w:line="240" w:lineRule="auto"/>
        <w:ind w:left="1440" w:hanging="720"/>
        <w:rPr>
          <w:rFonts w:ascii="Times New Roman" w:eastAsia="Times New Roman" w:hAnsi="Times New Roman" w:cs="Times New Roman"/>
          <w:sz w:val="24"/>
          <w:szCs w:val="24"/>
        </w:rPr>
      </w:pPr>
      <w:r w:rsidRPr="009511DD">
        <w:rPr>
          <w:rFonts w:ascii="Times New Roman" w:eastAsia="Times New Roman" w:hAnsi="Times New Roman" w:cs="Times New Roman"/>
          <w:sz w:val="24"/>
          <w:szCs w:val="24"/>
        </w:rPr>
        <w:t>d)</w:t>
      </w:r>
      <w:r w:rsidRPr="009511DD">
        <w:rPr>
          <w:rFonts w:ascii="Times New Roman" w:eastAsia="Times New Roman" w:hAnsi="Times New Roman" w:cs="Times New Roman"/>
          <w:sz w:val="24"/>
          <w:szCs w:val="24"/>
        </w:rPr>
        <w:tab/>
      </w:r>
      <w:r w:rsidRPr="009511DD">
        <w:rPr>
          <w:rFonts w:ascii="Times New Roman" w:eastAsia="Times New Roman" w:hAnsi="Times New Roman" w:cs="Times New Roman"/>
          <w:i/>
          <w:sz w:val="24"/>
          <w:szCs w:val="24"/>
        </w:rPr>
        <w:t>The Agency or any other person files a written objection to the grant of such variance within 21 days</w:t>
      </w:r>
      <w:r w:rsidRPr="009511DD">
        <w:rPr>
          <w:rFonts w:ascii="Times New Roman" w:eastAsia="Times New Roman" w:hAnsi="Times New Roman" w:cs="Times New Roman"/>
          <w:sz w:val="24"/>
          <w:szCs w:val="24"/>
        </w:rPr>
        <w:t xml:space="preserve"> after the publication of the </w:t>
      </w:r>
      <w:r w:rsidR="00926AD5">
        <w:rPr>
          <w:rFonts w:ascii="Times New Roman" w:eastAsia="Times New Roman" w:hAnsi="Times New Roman" w:cs="Times New Roman"/>
          <w:sz w:val="24"/>
          <w:szCs w:val="24"/>
        </w:rPr>
        <w:t>petitioner's</w:t>
      </w:r>
      <w:r w:rsidRPr="009511DD">
        <w:rPr>
          <w:rFonts w:ascii="Times New Roman" w:eastAsia="Times New Roman" w:hAnsi="Times New Roman" w:cs="Times New Roman"/>
          <w:sz w:val="24"/>
          <w:szCs w:val="24"/>
        </w:rPr>
        <w:t xml:space="preserve"> notice </w:t>
      </w:r>
      <w:r w:rsidR="00926AD5">
        <w:rPr>
          <w:rFonts w:ascii="Times New Roman" w:eastAsia="Times New Roman" w:hAnsi="Times New Roman" w:cs="Times New Roman"/>
          <w:sz w:val="24"/>
          <w:szCs w:val="24"/>
        </w:rPr>
        <w:t>under</w:t>
      </w:r>
      <w:r w:rsidRPr="009511DD">
        <w:rPr>
          <w:rFonts w:ascii="Times New Roman" w:eastAsia="Times New Roman" w:hAnsi="Times New Roman" w:cs="Times New Roman"/>
          <w:sz w:val="24"/>
          <w:szCs w:val="24"/>
        </w:rPr>
        <w:t xml:space="preserve"> Section 104.214, </w:t>
      </w:r>
      <w:r w:rsidRPr="009511DD">
        <w:rPr>
          <w:rFonts w:ascii="Times New Roman" w:eastAsia="Times New Roman" w:hAnsi="Times New Roman" w:cs="Times New Roman"/>
          <w:i/>
          <w:sz w:val="24"/>
          <w:szCs w:val="24"/>
        </w:rPr>
        <w:t>together with a written request for hearing</w:t>
      </w:r>
      <w:r w:rsidRPr="009511DD">
        <w:rPr>
          <w:rFonts w:ascii="Times New Roman" w:eastAsia="Times New Roman" w:hAnsi="Times New Roman" w:cs="Times New Roman"/>
          <w:sz w:val="24"/>
          <w:szCs w:val="24"/>
        </w:rPr>
        <w:t xml:space="preserve"> [415 ILCS 5/37(a)]; </w:t>
      </w:r>
      <w:r w:rsidR="00081306" w:rsidRPr="009511DD">
        <w:rPr>
          <w:rFonts w:ascii="Times New Roman" w:eastAsia="Times New Roman" w:hAnsi="Times New Roman" w:cs="Times New Roman"/>
          <w:sz w:val="24"/>
          <w:szCs w:val="24"/>
        </w:rPr>
        <w:t>or</w:t>
      </w:r>
    </w:p>
    <w:p w:rsidR="004B7FD0" w:rsidRPr="009511DD" w:rsidRDefault="004B7FD0" w:rsidP="009511DD">
      <w:pPr>
        <w:spacing w:after="0" w:line="240" w:lineRule="auto"/>
        <w:rPr>
          <w:rFonts w:ascii="Times New Roman" w:eastAsia="Times New Roman" w:hAnsi="Times New Roman" w:cs="Times New Roman"/>
          <w:sz w:val="24"/>
          <w:szCs w:val="24"/>
        </w:rPr>
      </w:pPr>
    </w:p>
    <w:p w:rsidR="004B7FD0" w:rsidRPr="009511DD" w:rsidRDefault="004B7FD0" w:rsidP="009511DD">
      <w:pPr>
        <w:spacing w:after="0" w:line="240" w:lineRule="auto"/>
        <w:ind w:left="1440" w:hanging="720"/>
        <w:rPr>
          <w:rFonts w:ascii="Times New Roman" w:eastAsia="Times New Roman" w:hAnsi="Times New Roman" w:cs="Times New Roman"/>
          <w:sz w:val="24"/>
          <w:szCs w:val="24"/>
        </w:rPr>
      </w:pPr>
      <w:r w:rsidRPr="009511DD">
        <w:rPr>
          <w:rFonts w:ascii="Times New Roman" w:eastAsia="Times New Roman" w:hAnsi="Times New Roman" w:cs="Times New Roman"/>
          <w:sz w:val="24"/>
          <w:szCs w:val="24"/>
        </w:rPr>
        <w:t>e)</w:t>
      </w:r>
      <w:r w:rsidRPr="009511DD">
        <w:rPr>
          <w:rFonts w:ascii="Times New Roman" w:eastAsia="Times New Roman" w:hAnsi="Times New Roman" w:cs="Times New Roman"/>
          <w:sz w:val="24"/>
          <w:szCs w:val="24"/>
        </w:rPr>
        <w:tab/>
        <w:t xml:space="preserve">The request concerns a RCRA variance. </w:t>
      </w:r>
    </w:p>
    <w:p w:rsidR="001F2948" w:rsidRPr="009511DD" w:rsidRDefault="001F2948" w:rsidP="009511DD">
      <w:pPr>
        <w:spacing w:after="0" w:line="240" w:lineRule="auto"/>
        <w:rPr>
          <w:rFonts w:ascii="Times New Roman" w:eastAsia="Times New Roman" w:hAnsi="Times New Roman" w:cs="Times New Roman"/>
          <w:sz w:val="24"/>
          <w:szCs w:val="24"/>
        </w:rPr>
      </w:pPr>
    </w:p>
    <w:p w:rsidR="001F2948" w:rsidRPr="009511DD" w:rsidRDefault="00926AD5" w:rsidP="00926AD5">
      <w:pPr>
        <w:spacing w:after="0" w:line="240" w:lineRule="auto"/>
        <w:ind w:left="720"/>
        <w:rPr>
          <w:rFonts w:ascii="Times New Roman" w:eastAsia="Times New Roman" w:hAnsi="Times New Roman" w:cs="Times New Roman"/>
          <w:sz w:val="24"/>
          <w:szCs w:val="24"/>
        </w:rPr>
      </w:pPr>
      <w:r w:rsidRPr="00926AD5">
        <w:rPr>
          <w:rFonts w:ascii="Times New Roman" w:eastAsia="Times New Roman" w:hAnsi="Times New Roman" w:cs="Times New Roman"/>
          <w:sz w:val="24"/>
          <w:szCs w:val="24"/>
        </w:rPr>
        <w:t xml:space="preserve">(Source:  Amended at 41 Ill. Reg. </w:t>
      </w:r>
      <w:r w:rsidR="007F567F">
        <w:rPr>
          <w:rFonts w:ascii="Times New Roman" w:eastAsia="Times New Roman" w:hAnsi="Times New Roman" w:cs="Times New Roman"/>
          <w:sz w:val="24"/>
          <w:szCs w:val="24"/>
        </w:rPr>
        <w:t>10049</w:t>
      </w:r>
      <w:r w:rsidRPr="00926AD5">
        <w:rPr>
          <w:rFonts w:ascii="Times New Roman" w:eastAsia="Times New Roman" w:hAnsi="Times New Roman" w:cs="Times New Roman"/>
          <w:sz w:val="24"/>
          <w:szCs w:val="24"/>
        </w:rPr>
        <w:t xml:space="preserve">, effective </w:t>
      </w:r>
      <w:bookmarkStart w:id="0" w:name="_GoBack"/>
      <w:r w:rsidR="007F567F">
        <w:rPr>
          <w:rFonts w:ascii="Times New Roman" w:eastAsia="Times New Roman" w:hAnsi="Times New Roman" w:cs="Times New Roman"/>
          <w:sz w:val="24"/>
          <w:szCs w:val="24"/>
        </w:rPr>
        <w:t>July 5, 2017</w:t>
      </w:r>
      <w:bookmarkEnd w:id="0"/>
      <w:r w:rsidRPr="00926AD5">
        <w:rPr>
          <w:rFonts w:ascii="Times New Roman" w:eastAsia="Times New Roman" w:hAnsi="Times New Roman" w:cs="Times New Roman"/>
          <w:sz w:val="24"/>
          <w:szCs w:val="24"/>
        </w:rPr>
        <w:t>)</w:t>
      </w:r>
    </w:p>
    <w:sectPr w:rsidR="001F2948" w:rsidRPr="00951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2AC"/>
    <w:rsid w:val="00033D22"/>
    <w:rsid w:val="00081306"/>
    <w:rsid w:val="0017256E"/>
    <w:rsid w:val="001F2948"/>
    <w:rsid w:val="003701E6"/>
    <w:rsid w:val="003859CB"/>
    <w:rsid w:val="004302AC"/>
    <w:rsid w:val="004B7FD0"/>
    <w:rsid w:val="005C3366"/>
    <w:rsid w:val="007F567F"/>
    <w:rsid w:val="00821F65"/>
    <w:rsid w:val="00926AD5"/>
    <w:rsid w:val="009511DD"/>
    <w:rsid w:val="00A55CA9"/>
    <w:rsid w:val="00B05ECA"/>
    <w:rsid w:val="00B572AC"/>
    <w:rsid w:val="00CF6800"/>
    <w:rsid w:val="00D007E4"/>
    <w:rsid w:val="00D30741"/>
    <w:rsid w:val="00EA657B"/>
    <w:rsid w:val="00EE64DF"/>
    <w:rsid w:val="00F1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DDC997-3E40-41C7-8144-726A4EC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D0"/>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