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58" w:rsidRDefault="00874B80" w:rsidP="00D32058">
      <w:pPr>
        <w:widowControl w:val="0"/>
        <w:autoSpaceDE w:val="0"/>
        <w:autoSpaceDN w:val="0"/>
        <w:adjustRightInd w:val="0"/>
      </w:pPr>
      <w:bookmarkStart w:id="0" w:name="_GoBack"/>
      <w:bookmarkEnd w:id="0"/>
      <w:r>
        <w:rPr>
          <w:b/>
          <w:bCs/>
        </w:rPr>
        <w:br w:type="page"/>
      </w:r>
      <w:r w:rsidR="00D32058">
        <w:rPr>
          <w:b/>
          <w:bCs/>
        </w:rPr>
        <w:t xml:space="preserve">Section 101.APPENDIX A  </w:t>
      </w:r>
      <w:r w:rsidR="005F4A6D">
        <w:rPr>
          <w:b/>
          <w:bCs/>
        </w:rPr>
        <w:t xml:space="preserve"> </w:t>
      </w:r>
      <w:r w:rsidR="00D32058">
        <w:rPr>
          <w:b/>
          <w:bCs/>
        </w:rPr>
        <w:t>Captions</w:t>
      </w:r>
      <w:r w:rsidR="00D32058">
        <w:t xml:space="preserve"> </w:t>
      </w:r>
    </w:p>
    <w:p w:rsidR="00D32058" w:rsidRDefault="00D32058" w:rsidP="00D32058">
      <w:pPr>
        <w:widowControl w:val="0"/>
        <w:autoSpaceDE w:val="0"/>
        <w:autoSpaceDN w:val="0"/>
        <w:adjustRightInd w:val="0"/>
      </w:pPr>
    </w:p>
    <w:p w:rsidR="00D32058" w:rsidRDefault="00D32058" w:rsidP="00D32058">
      <w:pPr>
        <w:widowControl w:val="0"/>
        <w:autoSpaceDE w:val="0"/>
        <w:autoSpaceDN w:val="0"/>
        <w:adjustRightInd w:val="0"/>
      </w:pPr>
      <w:r>
        <w:rPr>
          <w:b/>
          <w:bCs/>
        </w:rPr>
        <w:t xml:space="preserve">Section 101.ILLUSTRATION A </w:t>
      </w:r>
      <w:r w:rsidR="005F4A6D">
        <w:rPr>
          <w:b/>
          <w:bCs/>
        </w:rPr>
        <w:t xml:space="preserve">  </w:t>
      </w:r>
      <w:r>
        <w:rPr>
          <w:b/>
          <w:bCs/>
        </w:rPr>
        <w:t>Enforcement Case</w:t>
      </w:r>
      <w:r>
        <w:t xml:space="preserve"> </w:t>
      </w:r>
    </w:p>
    <w:p w:rsidR="00D32058" w:rsidRDefault="00D32058" w:rsidP="00D32058">
      <w:pPr>
        <w:widowControl w:val="0"/>
        <w:autoSpaceDE w:val="0"/>
        <w:autoSpaceDN w:val="0"/>
        <w:adjustRightInd w:val="0"/>
      </w:pPr>
    </w:p>
    <w:p w:rsidR="00D32058" w:rsidRDefault="00D32058" w:rsidP="00D32058">
      <w:pPr>
        <w:widowControl w:val="0"/>
        <w:autoSpaceDE w:val="0"/>
        <w:autoSpaceDN w:val="0"/>
        <w:adjustRightInd w:val="0"/>
        <w:jc w:val="center"/>
      </w:pPr>
      <w:r>
        <w:t>BEFORE THE ILLINOIS POLLUTION CONTROL BOARD</w:t>
      </w:r>
    </w:p>
    <w:p w:rsidR="00D32058" w:rsidRDefault="00D32058" w:rsidP="00D32058">
      <w:pPr>
        <w:widowControl w:val="0"/>
        <w:autoSpaceDE w:val="0"/>
        <w:autoSpaceDN w:val="0"/>
        <w:adjustRightInd w:val="0"/>
        <w:jc w:val="center"/>
      </w:pPr>
    </w:p>
    <w:p w:rsidR="00D32058" w:rsidRDefault="00D32058" w:rsidP="00D32058">
      <w:pPr>
        <w:widowControl w:val="0"/>
        <w:autoSpaceDE w:val="0"/>
        <w:autoSpaceDN w:val="0"/>
        <w:adjustRightInd w:val="0"/>
      </w:pPr>
    </w:p>
    <w:p w:rsidR="005F4A6D" w:rsidRDefault="00D32058" w:rsidP="005F4A6D">
      <w:pPr>
        <w:widowControl w:val="0"/>
        <w:tabs>
          <w:tab w:val="right" w:pos="5040"/>
        </w:tabs>
        <w:autoSpaceDE w:val="0"/>
        <w:autoSpaceDN w:val="0"/>
        <w:adjustRightInd w:val="0"/>
      </w:pPr>
      <w:r>
        <w:t>PEOPLE OF THE STATE OF</w:t>
      </w:r>
      <w:r w:rsidR="005F4A6D">
        <w:tab/>
        <w:t>)</w:t>
      </w:r>
    </w:p>
    <w:p w:rsidR="00D32058" w:rsidRDefault="005F4A6D" w:rsidP="005F4A6D">
      <w:pPr>
        <w:widowControl w:val="0"/>
        <w:tabs>
          <w:tab w:val="right" w:pos="5040"/>
        </w:tabs>
        <w:autoSpaceDE w:val="0"/>
        <w:autoSpaceDN w:val="0"/>
        <w:adjustRightInd w:val="0"/>
      </w:pPr>
      <w:r>
        <w:t>ILLINOIS,</w:t>
      </w:r>
      <w:r>
        <w:tab/>
        <w:t>)</w:t>
      </w:r>
    </w:p>
    <w:p w:rsidR="005F4A6D" w:rsidRDefault="005F4A6D" w:rsidP="005F4A6D">
      <w:pPr>
        <w:widowControl w:val="0"/>
        <w:tabs>
          <w:tab w:val="right" w:pos="5040"/>
        </w:tabs>
        <w:autoSpaceDE w:val="0"/>
        <w:autoSpaceDN w:val="0"/>
        <w:adjustRightInd w:val="0"/>
      </w:pPr>
      <w:r>
        <w:tab/>
        <w:t>)</w:t>
      </w:r>
    </w:p>
    <w:p w:rsidR="00D32058" w:rsidRDefault="00D32058" w:rsidP="005F4A6D">
      <w:pPr>
        <w:widowControl w:val="0"/>
        <w:tabs>
          <w:tab w:val="right" w:pos="5040"/>
        </w:tabs>
        <w:autoSpaceDE w:val="0"/>
        <w:autoSpaceDN w:val="0"/>
        <w:adjustRightInd w:val="0"/>
        <w:ind w:left="741"/>
      </w:pPr>
      <w:r>
        <w:t>Complainant,</w:t>
      </w:r>
      <w:r w:rsidR="005F4A6D">
        <w:tab/>
        <w:t>)</w:t>
      </w:r>
    </w:p>
    <w:p w:rsidR="00D32058" w:rsidRDefault="005F4A6D" w:rsidP="005F4A6D">
      <w:pPr>
        <w:widowControl w:val="0"/>
        <w:tabs>
          <w:tab w:val="right" w:pos="5040"/>
        </w:tabs>
        <w:autoSpaceDE w:val="0"/>
        <w:autoSpaceDN w:val="0"/>
        <w:adjustRightInd w:val="0"/>
        <w:ind w:left="741"/>
      </w:pPr>
      <w:r>
        <w:tab/>
        <w:t>)</w:t>
      </w:r>
    </w:p>
    <w:p w:rsidR="00D32058" w:rsidRDefault="00D32058" w:rsidP="005F4A6D">
      <w:pPr>
        <w:widowControl w:val="0"/>
        <w:tabs>
          <w:tab w:val="right" w:pos="5040"/>
        </w:tabs>
        <w:autoSpaceDE w:val="0"/>
        <w:autoSpaceDN w:val="0"/>
        <w:adjustRightInd w:val="0"/>
        <w:ind w:left="741"/>
      </w:pPr>
      <w:r>
        <w:t>v.</w:t>
      </w:r>
      <w:r w:rsidR="005F4A6D">
        <w:tab/>
        <w:t>)</w:t>
      </w:r>
      <w:r w:rsidR="005F4A6D">
        <w:tab/>
        <w:t>PCB xx-xxx</w:t>
      </w:r>
    </w:p>
    <w:p w:rsidR="005F4A6D" w:rsidRDefault="005F4A6D" w:rsidP="005F4A6D">
      <w:pPr>
        <w:widowControl w:val="0"/>
        <w:tabs>
          <w:tab w:val="right" w:pos="-114"/>
          <w:tab w:val="right" w:pos="5040"/>
        </w:tabs>
        <w:autoSpaceDE w:val="0"/>
        <w:autoSpaceDN w:val="0"/>
        <w:adjustRightInd w:val="0"/>
      </w:pPr>
      <w:r>
        <w:tab/>
        <w:t>)</w:t>
      </w:r>
      <w:r>
        <w:tab/>
        <w:t>(Enforcement-X)</w:t>
      </w:r>
    </w:p>
    <w:p w:rsidR="00D32058" w:rsidRDefault="005F4A6D" w:rsidP="005F4A6D">
      <w:pPr>
        <w:widowControl w:val="0"/>
        <w:tabs>
          <w:tab w:val="right" w:pos="5040"/>
        </w:tabs>
        <w:autoSpaceDE w:val="0"/>
        <w:autoSpaceDN w:val="0"/>
        <w:adjustRightInd w:val="0"/>
      </w:pPr>
      <w:r>
        <w:t>W.R. JONES Co.,</w:t>
      </w:r>
      <w:r>
        <w:tab/>
        <w:t>)</w:t>
      </w:r>
    </w:p>
    <w:p w:rsidR="005F4A6D" w:rsidRDefault="005F4A6D" w:rsidP="005F4A6D">
      <w:pPr>
        <w:widowControl w:val="0"/>
        <w:tabs>
          <w:tab w:val="right" w:pos="5040"/>
        </w:tabs>
        <w:autoSpaceDE w:val="0"/>
        <w:autoSpaceDN w:val="0"/>
        <w:adjustRightInd w:val="0"/>
      </w:pPr>
      <w:r>
        <w:tab/>
        <w:t>)</w:t>
      </w:r>
    </w:p>
    <w:p w:rsidR="00D32058" w:rsidRDefault="00D32058" w:rsidP="00E74F50">
      <w:pPr>
        <w:widowControl w:val="0"/>
        <w:tabs>
          <w:tab w:val="right" w:pos="5040"/>
        </w:tabs>
        <w:autoSpaceDE w:val="0"/>
        <w:autoSpaceDN w:val="0"/>
        <w:adjustRightInd w:val="0"/>
        <w:ind w:left="741"/>
      </w:pPr>
      <w:r>
        <w:t>Respondent.</w:t>
      </w:r>
      <w:r w:rsidR="005F4A6D">
        <w:tab/>
        <w:t>)</w:t>
      </w:r>
    </w:p>
    <w:p w:rsidR="00E74F50" w:rsidRDefault="00E74F50" w:rsidP="00E74F50">
      <w:pPr>
        <w:widowControl w:val="0"/>
        <w:tabs>
          <w:tab w:val="right" w:pos="5040"/>
        </w:tabs>
        <w:autoSpaceDE w:val="0"/>
        <w:autoSpaceDN w:val="0"/>
        <w:adjustRightInd w:val="0"/>
        <w:ind w:left="741"/>
      </w:pPr>
    </w:p>
    <w:p w:rsidR="00897B51" w:rsidRDefault="00897B51" w:rsidP="00E74F50">
      <w:pPr>
        <w:widowControl w:val="0"/>
        <w:tabs>
          <w:tab w:val="right" w:pos="5040"/>
        </w:tabs>
        <w:autoSpaceDE w:val="0"/>
        <w:autoSpaceDN w:val="0"/>
        <w:adjustRightInd w:val="0"/>
        <w:ind w:left="741"/>
      </w:pPr>
    </w:p>
    <w:p w:rsidR="00897B51" w:rsidRDefault="00897B51" w:rsidP="00897B51">
      <w:pPr>
        <w:widowControl w:val="0"/>
        <w:autoSpaceDE w:val="0"/>
        <w:autoSpaceDN w:val="0"/>
        <w:adjustRightInd w:val="0"/>
      </w:pPr>
      <w:r>
        <w:rPr>
          <w:b/>
          <w:bCs/>
        </w:rPr>
        <w:t>BOARD NOTE:</w:t>
      </w:r>
      <w:r>
        <w:t xml:space="preserve">  The Board notes that all docket numbers consist of letter(s) followed by two numbers.  The first two digit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should contain a docket number located as indicated on the examples above.  The Board will also be designating its opinion and orders with the type of case and media involved in the matter. Where the above examples have the type of case proceeded by "X" the Board will, for example if the case is dealing with a variance from certain water regulations, put the media, water, after variance to become "Variance-Water". Again, persons making filings need not place this on original filings. However, all filings in a matter that has been assigned the media should indicate that media in the location as in the above examples.  Where there are specific procedural rules developed for specific types of cases, as in a "UST Appeal", persons making filings should follow those examples. </w:t>
      </w:r>
    </w:p>
    <w:p w:rsidR="00897B51" w:rsidRDefault="00897B51" w:rsidP="00897B51">
      <w:pPr>
        <w:widowControl w:val="0"/>
        <w:tabs>
          <w:tab w:val="right" w:pos="5040"/>
        </w:tabs>
        <w:autoSpaceDE w:val="0"/>
        <w:autoSpaceDN w:val="0"/>
        <w:adjustRightInd w:val="0"/>
      </w:pPr>
    </w:p>
    <w:sectPr w:rsidR="00897B51" w:rsidSect="00D320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058"/>
    <w:rsid w:val="001D3AEC"/>
    <w:rsid w:val="005C3366"/>
    <w:rsid w:val="005F4A6D"/>
    <w:rsid w:val="007376ED"/>
    <w:rsid w:val="00874B80"/>
    <w:rsid w:val="00897B51"/>
    <w:rsid w:val="009460C0"/>
    <w:rsid w:val="00A57DF0"/>
    <w:rsid w:val="00AD0E05"/>
    <w:rsid w:val="00D32058"/>
    <w:rsid w:val="00E74F50"/>
    <w:rsid w:val="00EA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