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79" w:rsidRDefault="00044C79" w:rsidP="00044C79">
      <w:pPr>
        <w:rPr>
          <w:b/>
        </w:rPr>
      </w:pPr>
      <w:bookmarkStart w:id="0" w:name="_GoBack"/>
      <w:bookmarkEnd w:id="0"/>
    </w:p>
    <w:p w:rsidR="00044C79" w:rsidRPr="005E7A8F" w:rsidRDefault="00044C79" w:rsidP="00044C79">
      <w:pPr>
        <w:rPr>
          <w:b/>
        </w:rPr>
      </w:pPr>
      <w:r w:rsidRPr="005E7A8F">
        <w:rPr>
          <w:b/>
        </w:rPr>
        <w:t>Section 3035.550  Carry-over Projects</w:t>
      </w:r>
    </w:p>
    <w:p w:rsidR="00044C79" w:rsidRPr="005E7A8F" w:rsidRDefault="00044C79" w:rsidP="00044C79"/>
    <w:p w:rsidR="00044C79" w:rsidRDefault="00044C79" w:rsidP="00044C79">
      <w:r w:rsidRPr="005E7A8F">
        <w:t xml:space="preserve">If a public library has been determined eligible for a public library construction project, has arranged and approved all local financing, and is eligible to receive a public library construction project grant award in any fiscal year, but does not receive </w:t>
      </w:r>
      <w:r>
        <w:t xml:space="preserve">the </w:t>
      </w:r>
      <w:r w:rsidRPr="005E7A8F">
        <w:t>award in that year due to lack of adequate appropriations, those public library construction projects shall continue to be considered for grant awards for the following fiscal year.</w:t>
      </w:r>
    </w:p>
    <w:p w:rsidR="001C71C2" w:rsidRDefault="001C71C2" w:rsidP="0057304F"/>
    <w:p w:rsidR="00044C79" w:rsidRPr="00D55B37" w:rsidRDefault="00044C79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5A335C">
        <w:t>18366</w:t>
      </w:r>
      <w:r w:rsidRPr="00D55B37">
        <w:t xml:space="preserve">, effective </w:t>
      </w:r>
      <w:r w:rsidR="005A335C">
        <w:t>October 18, 2011</w:t>
      </w:r>
      <w:r w:rsidRPr="00D55B37">
        <w:t>)</w:t>
      </w:r>
    </w:p>
    <w:sectPr w:rsidR="00044C7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F9" w:rsidRDefault="00145FF9">
      <w:r>
        <w:separator/>
      </w:r>
    </w:p>
  </w:endnote>
  <w:endnote w:type="continuationSeparator" w:id="0">
    <w:p w:rsidR="00145FF9" w:rsidRDefault="0014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F9" w:rsidRDefault="00145FF9">
      <w:r>
        <w:separator/>
      </w:r>
    </w:p>
  </w:footnote>
  <w:footnote w:type="continuationSeparator" w:id="0">
    <w:p w:rsidR="00145FF9" w:rsidRDefault="0014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1E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4C79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5FF9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B3E"/>
    <w:rsid w:val="0039357E"/>
    <w:rsid w:val="00393652"/>
    <w:rsid w:val="00394002"/>
    <w:rsid w:val="0039695D"/>
    <w:rsid w:val="003A4E0A"/>
    <w:rsid w:val="003A6E65"/>
    <w:rsid w:val="003A797F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35C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1EE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8A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55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C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C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