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36" w:rsidRDefault="00174B36" w:rsidP="00174B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4B36" w:rsidRDefault="00174B36" w:rsidP="00174B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3010.170  Theft of Materials</w:t>
      </w:r>
      <w:r>
        <w:t xml:space="preserve"> </w:t>
      </w:r>
    </w:p>
    <w:p w:rsidR="00174B36" w:rsidRDefault="00174B36" w:rsidP="00174B36">
      <w:pPr>
        <w:widowControl w:val="0"/>
        <w:autoSpaceDE w:val="0"/>
        <w:autoSpaceDN w:val="0"/>
        <w:adjustRightInd w:val="0"/>
      </w:pPr>
    </w:p>
    <w:p w:rsidR="00174B36" w:rsidRDefault="00174B36" w:rsidP="00174B36">
      <w:pPr>
        <w:widowControl w:val="0"/>
        <w:autoSpaceDE w:val="0"/>
        <w:autoSpaceDN w:val="0"/>
        <w:adjustRightInd w:val="0"/>
      </w:pPr>
      <w:r>
        <w:t xml:space="preserve">Theft of materials from the State Library's collections incurs liability under the provisions of Article 16B of the Criminal Code of 1961, "Protection of Library Materials" [720 ILCS 5/Art. 16B] </w:t>
      </w:r>
    </w:p>
    <w:p w:rsidR="00174B36" w:rsidRDefault="00174B36" w:rsidP="00174B36">
      <w:pPr>
        <w:widowControl w:val="0"/>
        <w:autoSpaceDE w:val="0"/>
        <w:autoSpaceDN w:val="0"/>
        <w:adjustRightInd w:val="0"/>
      </w:pPr>
    </w:p>
    <w:p w:rsidR="00174B36" w:rsidRDefault="00174B36" w:rsidP="00174B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5412, effective April 1, 2001) </w:t>
      </w:r>
    </w:p>
    <w:sectPr w:rsidR="00174B36" w:rsidSect="00174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B36"/>
    <w:rsid w:val="00174B36"/>
    <w:rsid w:val="001C0C2C"/>
    <w:rsid w:val="005C3366"/>
    <w:rsid w:val="006575D1"/>
    <w:rsid w:val="007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