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9A" w:rsidRDefault="004D549A" w:rsidP="004D5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49A" w:rsidRDefault="004D549A" w:rsidP="004D54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1600.670  Rental Cost</w:t>
      </w:r>
      <w:r>
        <w:t xml:space="preserve"> </w:t>
      </w:r>
    </w:p>
    <w:p w:rsidR="004D549A" w:rsidRDefault="004D549A" w:rsidP="004D549A">
      <w:pPr>
        <w:widowControl w:val="0"/>
        <w:autoSpaceDE w:val="0"/>
        <w:autoSpaceDN w:val="0"/>
        <w:adjustRightInd w:val="0"/>
      </w:pPr>
    </w:p>
    <w:p w:rsidR="004D549A" w:rsidRDefault="004D549A" w:rsidP="004D54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Requests by entrepreneurial and other for-profit groups desiring use of the facilities of State Community College will be considered individually.  The rental fee for use of State Community College, non-classroom space shall be $20.00 per hour, the cost of which is expected to cover cleanup, utilities and security services provided outside of no</w:t>
      </w:r>
      <w:r w:rsidR="001C5A10">
        <w:t>rmal operating hours, 8:00 a.m.-</w:t>
      </w:r>
      <w:r>
        <w:t xml:space="preserve">10:00 p.m., Monday through Friday. Rental of classroom space shall be set at $10.00 per hour. </w:t>
      </w:r>
    </w:p>
    <w:p w:rsidR="00065533" w:rsidRDefault="00065533" w:rsidP="004D549A">
      <w:pPr>
        <w:widowControl w:val="0"/>
        <w:autoSpaceDE w:val="0"/>
        <w:autoSpaceDN w:val="0"/>
        <w:adjustRightInd w:val="0"/>
        <w:ind w:left="1440" w:hanging="720"/>
      </w:pPr>
    </w:p>
    <w:p w:rsidR="004D549A" w:rsidRDefault="004D549A" w:rsidP="004D54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standards used in judging an organization would be business reputation, financial solvency and/or responsibility and must be of a non-partisan political nature. </w:t>
      </w:r>
    </w:p>
    <w:sectPr w:rsidR="004D549A" w:rsidSect="004D5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49A"/>
    <w:rsid w:val="00065533"/>
    <w:rsid w:val="001C5A10"/>
    <w:rsid w:val="004D549A"/>
    <w:rsid w:val="005C3366"/>
    <w:rsid w:val="00AB0B93"/>
    <w:rsid w:val="00C219BE"/>
    <w:rsid w:val="00C7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