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B2" w:rsidRDefault="00220AB2" w:rsidP="00220AB2">
      <w:pPr>
        <w:widowControl w:val="0"/>
        <w:autoSpaceDE w:val="0"/>
        <w:autoSpaceDN w:val="0"/>
        <w:adjustRightInd w:val="0"/>
      </w:pPr>
      <w:bookmarkStart w:id="0" w:name="_GoBack"/>
      <w:bookmarkEnd w:id="0"/>
    </w:p>
    <w:p w:rsidR="00220AB2" w:rsidRDefault="00220AB2" w:rsidP="00220AB2">
      <w:pPr>
        <w:widowControl w:val="0"/>
        <w:autoSpaceDE w:val="0"/>
        <w:autoSpaceDN w:val="0"/>
        <w:adjustRightInd w:val="0"/>
      </w:pPr>
      <w:r>
        <w:rPr>
          <w:b/>
          <w:bCs/>
        </w:rPr>
        <w:t>Section 1600.230  Variances</w:t>
      </w:r>
      <w:r>
        <w:t xml:space="preserve"> </w:t>
      </w:r>
    </w:p>
    <w:p w:rsidR="00220AB2" w:rsidRDefault="00220AB2" w:rsidP="00220AB2">
      <w:pPr>
        <w:widowControl w:val="0"/>
        <w:autoSpaceDE w:val="0"/>
        <w:autoSpaceDN w:val="0"/>
        <w:adjustRightInd w:val="0"/>
      </w:pPr>
    </w:p>
    <w:p w:rsidR="00220AB2" w:rsidRDefault="00220AB2" w:rsidP="00220AB2">
      <w:pPr>
        <w:widowControl w:val="0"/>
        <w:autoSpaceDE w:val="0"/>
        <w:autoSpaceDN w:val="0"/>
        <w:adjustRightInd w:val="0"/>
      </w:pPr>
      <w:r>
        <w:t xml:space="preserve">The State Community College Board reserves the power to grant a variance or suspension of any of the aforesaid policies upon the State Community College Board's own motion in that the application of the policy would cause a great hardship and a variance of suspension is warranted because of delays caused by an Act of God, litigation and actions of other State or Federal Agencies which are beyond the control of the Board of Trustees of State Community College of East St. Louis.  The granting of a variance or suspension shall require the concurrence of majority of all voting members of the State Community College Board appointed and serving.  Affected parties may apply for a variance under Section 1600.370 Communication to the State Community College Board. </w:t>
      </w:r>
    </w:p>
    <w:sectPr w:rsidR="00220AB2" w:rsidSect="00220A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0AB2"/>
    <w:rsid w:val="00220AB2"/>
    <w:rsid w:val="004D4716"/>
    <w:rsid w:val="005C3366"/>
    <w:rsid w:val="009776F6"/>
    <w:rsid w:val="00CD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