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1A" w:rsidRDefault="00942C1A" w:rsidP="00942C1A"/>
    <w:p w:rsidR="00B674BC" w:rsidRPr="00942C1A" w:rsidRDefault="00942C1A" w:rsidP="00942C1A">
      <w:pPr>
        <w:rPr>
          <w:b/>
        </w:rPr>
      </w:pPr>
      <w:r w:rsidRPr="00942C1A">
        <w:rPr>
          <w:b/>
        </w:rPr>
        <w:t>Section 1506.500</w:t>
      </w:r>
      <w:r w:rsidR="00B674BC" w:rsidRPr="00942C1A">
        <w:rPr>
          <w:b/>
        </w:rPr>
        <w:t xml:space="preserve">  Approval Process</w:t>
      </w:r>
    </w:p>
    <w:p w:rsidR="00942C1A" w:rsidRDefault="00942C1A" w:rsidP="00942C1A"/>
    <w:p w:rsidR="00B674BC" w:rsidRPr="00942C1A" w:rsidRDefault="00942C1A" w:rsidP="00942C1A">
      <w:pPr>
        <w:ind w:left="1440" w:hanging="720"/>
      </w:pPr>
      <w:r>
        <w:t>a)</w:t>
      </w:r>
      <w:r>
        <w:tab/>
      </w:r>
      <w:r w:rsidR="00B674BC" w:rsidRPr="00942C1A">
        <w:t>Initial approval of an eligible applicant by the Board shall be for a period of two school years.</w:t>
      </w:r>
    </w:p>
    <w:p w:rsidR="00942C1A" w:rsidRDefault="00942C1A" w:rsidP="00942C1A"/>
    <w:p w:rsidR="00B674BC" w:rsidRPr="00942C1A" w:rsidRDefault="00942C1A" w:rsidP="00942C1A">
      <w:pPr>
        <w:ind w:left="1440" w:hanging="720"/>
      </w:pPr>
      <w:r>
        <w:t>b)</w:t>
      </w:r>
      <w:r>
        <w:tab/>
      </w:r>
      <w:r w:rsidR="00B674BC" w:rsidRPr="00942C1A">
        <w:t xml:space="preserve">After initial approval, renewal of an eligible applicant by the Board shall be for a period of four school years and shall be contingent upon </w:t>
      </w:r>
      <w:r w:rsidR="00811AF3">
        <w:t xml:space="preserve">submission to the Board of an application for renewal in accordance with the provisions of Section 1506.400 and demonstration to the Board of </w:t>
      </w:r>
      <w:r w:rsidR="00B674BC" w:rsidRPr="00942C1A">
        <w:t>specific documented outcomes of: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1)</w:t>
      </w:r>
      <w:r>
        <w:tab/>
      </w:r>
      <w:r w:rsidR="00B674BC" w:rsidRPr="00942C1A">
        <w:t>Student progression data;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2)</w:t>
      </w:r>
      <w:r>
        <w:tab/>
      </w:r>
      <w:r w:rsidR="00B674BC" w:rsidRPr="00942C1A">
        <w:t>Attendance hours;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3)</w:t>
      </w:r>
      <w:r>
        <w:tab/>
      </w:r>
      <w:r w:rsidR="00B674BC" w:rsidRPr="00942C1A">
        <w:t>Enrollment data;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4)</w:t>
      </w:r>
      <w:r>
        <w:tab/>
      </w:r>
      <w:r w:rsidR="00B674BC" w:rsidRPr="00942C1A">
        <w:t>Program goals and metrics;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5)</w:t>
      </w:r>
      <w:r>
        <w:tab/>
      </w:r>
      <w:r w:rsidR="00B674BC" w:rsidRPr="00942C1A">
        <w:t>Graduation rates and completion;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6)</w:t>
      </w:r>
      <w:r>
        <w:tab/>
      </w:r>
      <w:r w:rsidR="00B674BC" w:rsidRPr="00942C1A">
        <w:t>Earning of industry recognized credentials;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7)</w:t>
      </w:r>
      <w:r>
        <w:tab/>
      </w:r>
      <w:r w:rsidR="00B674BC" w:rsidRPr="00942C1A">
        <w:t>Program recruitment and retention;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8)</w:t>
      </w:r>
      <w:r>
        <w:tab/>
      </w:r>
      <w:r w:rsidR="00B674BC" w:rsidRPr="00942C1A">
        <w:t>Professional development of staff;</w:t>
      </w:r>
    </w:p>
    <w:p w:rsidR="00942C1A" w:rsidRDefault="00942C1A" w:rsidP="00942C1A"/>
    <w:p w:rsidR="00B674BC" w:rsidRPr="00942C1A" w:rsidRDefault="00942C1A" w:rsidP="00942C1A">
      <w:pPr>
        <w:ind w:left="720" w:firstLine="720"/>
      </w:pPr>
      <w:r>
        <w:t>9)</w:t>
      </w:r>
      <w:r>
        <w:tab/>
      </w:r>
      <w:r w:rsidR="00B674BC" w:rsidRPr="00942C1A">
        <w:t>Program costs; and</w:t>
      </w:r>
    </w:p>
    <w:p w:rsidR="00942C1A" w:rsidRDefault="00942C1A" w:rsidP="00942C1A"/>
    <w:p w:rsidR="00B674BC" w:rsidRPr="00942C1A" w:rsidRDefault="00942C1A" w:rsidP="00942C1A">
      <w:pPr>
        <w:ind w:left="720" w:firstLine="603"/>
      </w:pPr>
      <w:r>
        <w:t>10)</w:t>
      </w:r>
      <w:r>
        <w:tab/>
      </w:r>
      <w:r w:rsidR="00B674BC" w:rsidRPr="00942C1A">
        <w:t>Evaluation processes.</w:t>
      </w:r>
    </w:p>
    <w:p w:rsidR="00942C1A" w:rsidRDefault="00942C1A" w:rsidP="00942C1A"/>
    <w:p w:rsidR="000174EB" w:rsidRPr="00942C1A" w:rsidRDefault="00942C1A" w:rsidP="00942C1A">
      <w:pPr>
        <w:ind w:left="1440" w:hanging="720"/>
      </w:pPr>
      <w:r>
        <w:t>c)</w:t>
      </w:r>
      <w:r>
        <w:tab/>
      </w:r>
      <w:r w:rsidR="00C635B1">
        <w:t>A decision</w:t>
      </w:r>
      <w:r w:rsidR="00811AF3">
        <w:t xml:space="preserve"> of the Board shall be provided to eligible applicants in writing through </w:t>
      </w:r>
      <w:r w:rsidR="00C635B1">
        <w:t xml:space="preserve">U.S. </w:t>
      </w:r>
      <w:bookmarkStart w:id="0" w:name="_GoBack"/>
      <w:bookmarkEnd w:id="0"/>
      <w:r w:rsidR="00811AF3">
        <w:t>mail or electronic notice.  The Board shall make public a list of approved programs on its official website</w:t>
      </w:r>
      <w:r w:rsidR="00B674BC" w:rsidRPr="00942C1A">
        <w:t>.</w:t>
      </w:r>
    </w:p>
    <w:sectPr w:rsidR="000174EB" w:rsidRPr="00942C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BC" w:rsidRDefault="00B674BC">
      <w:r>
        <w:separator/>
      </w:r>
    </w:p>
  </w:endnote>
  <w:endnote w:type="continuationSeparator" w:id="0">
    <w:p w:rsidR="00B674BC" w:rsidRDefault="00B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BC" w:rsidRDefault="00B674BC">
      <w:r>
        <w:separator/>
      </w:r>
    </w:p>
  </w:footnote>
  <w:footnote w:type="continuationSeparator" w:id="0">
    <w:p w:rsidR="00B674BC" w:rsidRDefault="00B6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6516"/>
    <w:multiLevelType w:val="multilevel"/>
    <w:tmpl w:val="0900B114"/>
    <w:lvl w:ilvl="0">
      <w:start w:val="1"/>
      <w:numFmt w:val="lowerLetter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)"/>
      <w:lvlJc w:val="left"/>
      <w:pPr>
        <w:ind w:left="2160" w:hanging="720"/>
      </w:pPr>
    </w:lvl>
    <w:lvl w:ilvl="2">
      <w:start w:val="1"/>
      <w:numFmt w:val="upperLetter"/>
      <w:lvlText w:val="%3)"/>
      <w:lvlJc w:val="left"/>
      <w:pPr>
        <w:ind w:left="2880" w:hanging="720"/>
      </w:pPr>
    </w:lvl>
    <w:lvl w:ilvl="3">
      <w:start w:val="1"/>
      <w:numFmt w:val="lowerRoman"/>
      <w:lvlText w:val="%4)"/>
      <w:lvlJc w:val="left"/>
      <w:pPr>
        <w:ind w:left="3600" w:hanging="720"/>
      </w:pPr>
    </w:lvl>
    <w:lvl w:ilvl="4">
      <w:start w:val="1"/>
      <w:numFmt w:val="lowerLetter"/>
      <w:lvlText w:val="(%5)"/>
      <w:lvlJc w:val="left"/>
      <w:pPr>
        <w:ind w:left="4320" w:hanging="720"/>
      </w:pPr>
    </w:lvl>
    <w:lvl w:ilvl="5">
      <w:start w:val="1"/>
      <w:numFmt w:val="lowerRoman"/>
      <w:lvlText w:val="(%6)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lowerLetter"/>
      <w:lvlText w:val="%8."/>
      <w:lvlJc w:val="left"/>
      <w:pPr>
        <w:ind w:left="6480" w:hanging="720"/>
      </w:pPr>
    </w:lvl>
    <w:lvl w:ilvl="8">
      <w:start w:val="1"/>
      <w:numFmt w:val="lowerRoman"/>
      <w:lvlText w:val="%9."/>
      <w:lvlJc w:val="left"/>
      <w:pPr>
        <w:ind w:left="720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58C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360"/>
    <w:rsid w:val="006B7535"/>
    <w:rsid w:val="006B7892"/>
    <w:rsid w:val="006C0FE8"/>
    <w:rsid w:val="006C45D5"/>
    <w:rsid w:val="006C46CB"/>
    <w:rsid w:val="006D1235"/>
    <w:rsid w:val="006E00BF"/>
    <w:rsid w:val="006E07C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BC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AF3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C1A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4BC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5B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1A59-38F3-4E4A-9046-3D45B5C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8</cp:revision>
  <dcterms:created xsi:type="dcterms:W3CDTF">2018-03-13T15:52:00Z</dcterms:created>
  <dcterms:modified xsi:type="dcterms:W3CDTF">2018-11-01T20:44:00Z</dcterms:modified>
</cp:coreProperties>
</file>