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FF" w:rsidRDefault="00DD60FF" w:rsidP="00DD60FF">
      <w:pPr>
        <w:widowControl w:val="0"/>
        <w:autoSpaceDE w:val="0"/>
        <w:autoSpaceDN w:val="0"/>
        <w:adjustRightInd w:val="0"/>
      </w:pPr>
    </w:p>
    <w:p w:rsidR="00DD60FF" w:rsidRDefault="00DD60FF" w:rsidP="00DD60FF">
      <w:pPr>
        <w:widowControl w:val="0"/>
        <w:autoSpaceDE w:val="0"/>
        <w:autoSpaceDN w:val="0"/>
        <w:adjustRightInd w:val="0"/>
      </w:pPr>
      <w:r>
        <w:rPr>
          <w:b/>
          <w:bCs/>
        </w:rPr>
        <w:t>Section 1501.505   Student Tuition</w:t>
      </w:r>
      <w:r>
        <w:t xml:space="preserve"> </w:t>
      </w:r>
    </w:p>
    <w:p w:rsidR="00DD60FF" w:rsidRDefault="00DD60FF" w:rsidP="00DD60FF">
      <w:pPr>
        <w:widowControl w:val="0"/>
        <w:autoSpaceDE w:val="0"/>
        <w:autoSpaceDN w:val="0"/>
        <w:adjustRightInd w:val="0"/>
      </w:pPr>
    </w:p>
    <w:p w:rsidR="00DD60FF" w:rsidRDefault="008C5DA7" w:rsidP="00DD60FF">
      <w:pPr>
        <w:widowControl w:val="0"/>
        <w:autoSpaceDE w:val="0"/>
        <w:autoSpaceDN w:val="0"/>
        <w:adjustRightInd w:val="0"/>
      </w:pPr>
      <w:r>
        <w:t>A</w:t>
      </w:r>
      <w:r w:rsidR="00DD60FF">
        <w:t xml:space="preserve"> community college district will establish its own student tuition rates for in-district residents, in-</w:t>
      </w:r>
      <w:r>
        <w:t>state</w:t>
      </w:r>
      <w:r w:rsidR="00DD60FF">
        <w:t xml:space="preserve"> out-of-district residents, out-of-</w:t>
      </w:r>
      <w:r>
        <w:t>state</w:t>
      </w:r>
      <w:r w:rsidR="00DD60FF">
        <w:t xml:space="preserve"> residents, and out-of-country residents in accordance with the Act and this Section. </w:t>
      </w:r>
    </w:p>
    <w:p w:rsidR="00D457CB" w:rsidRDefault="00D457CB" w:rsidP="00DD60FF">
      <w:pPr>
        <w:widowControl w:val="0"/>
        <w:autoSpaceDE w:val="0"/>
        <w:autoSpaceDN w:val="0"/>
        <w:adjustRightInd w:val="0"/>
      </w:pPr>
    </w:p>
    <w:p w:rsidR="00DD60FF" w:rsidRDefault="00DD60FF" w:rsidP="00DD60FF">
      <w:pPr>
        <w:widowControl w:val="0"/>
        <w:autoSpaceDE w:val="0"/>
        <w:autoSpaceDN w:val="0"/>
        <w:adjustRightInd w:val="0"/>
        <w:ind w:left="1440" w:hanging="720"/>
      </w:pPr>
      <w:r>
        <w:t>a)</w:t>
      </w:r>
      <w:r>
        <w:tab/>
        <w:t xml:space="preserve">In-District Tuition.  The local community college board of trustees may set the tuition rates for in-district residents within the following policies: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1)</w:t>
      </w:r>
      <w:r>
        <w:tab/>
        <w:t xml:space="preserve">The local community college board of trustees may set tuition rates for its in-district residents, including variable rates for each of its programs, terms, time of enrollment, courses, delivery method, or other identifiable grouping of courses, as long as the weighted average of the tuition for all credit courses, including adult education, is no more than 1/3 the college district's per capita cost.  The method of calculating the per capita cost will be as prescribed in Section 6-2 of the Act. </w:t>
      </w:r>
    </w:p>
    <w:p w:rsidR="00D457CB" w:rsidRDefault="00D457CB" w:rsidP="005C3597">
      <w:pPr>
        <w:widowControl w:val="0"/>
        <w:autoSpaceDE w:val="0"/>
        <w:autoSpaceDN w:val="0"/>
        <w:adjustRightInd w:val="0"/>
      </w:pPr>
    </w:p>
    <w:p w:rsidR="008C5DA7" w:rsidRDefault="008C5DA7" w:rsidP="00DD60FF">
      <w:pPr>
        <w:widowControl w:val="0"/>
        <w:autoSpaceDE w:val="0"/>
        <w:autoSpaceDN w:val="0"/>
        <w:adjustRightInd w:val="0"/>
        <w:ind w:left="2160" w:hanging="720"/>
      </w:pPr>
      <w:r>
        <w:t>2)</w:t>
      </w:r>
      <w:r>
        <w:tab/>
        <w:t>A public community college shall charge in-district tuition rates for students who are currently under the legal guardianship of the Illinois Department of Children and Family Services or who have been recently emancipated from the Department and meet the general residency provisions in Section 1501.501.</w:t>
      </w:r>
    </w:p>
    <w:p w:rsidR="00D457CB" w:rsidRDefault="00D457CB" w:rsidP="005C3597">
      <w:pPr>
        <w:widowControl w:val="0"/>
        <w:autoSpaceDE w:val="0"/>
        <w:autoSpaceDN w:val="0"/>
        <w:adjustRightInd w:val="0"/>
      </w:pPr>
    </w:p>
    <w:p w:rsidR="008C5DA7" w:rsidRDefault="008C5DA7" w:rsidP="008C5DA7">
      <w:pPr>
        <w:widowControl w:val="0"/>
        <w:autoSpaceDE w:val="0"/>
        <w:autoSpaceDN w:val="0"/>
        <w:adjustRightInd w:val="0"/>
        <w:ind w:left="2160" w:hanging="720"/>
      </w:pPr>
      <w:r>
        <w:t>3)</w:t>
      </w:r>
      <w:r>
        <w:tab/>
        <w:t>A public community college shall charge in-district tuition rates for students utilizing benefits under the fedearl All-Volunteer Force Educational Assistance Program or the federal Post-9/11 Veterans Educational Assistance Act of 2008 or any subsequent variations of that Act.</w:t>
      </w:r>
    </w:p>
    <w:p w:rsidR="008C5DA7" w:rsidRDefault="008C5DA7" w:rsidP="005C3597">
      <w:pPr>
        <w:widowControl w:val="0"/>
        <w:autoSpaceDE w:val="0"/>
        <w:autoSpaceDN w:val="0"/>
        <w:adjustRightInd w:val="0"/>
      </w:pPr>
    </w:p>
    <w:p w:rsidR="00DD60FF" w:rsidRDefault="00DD60FF" w:rsidP="00DD60FF">
      <w:pPr>
        <w:widowControl w:val="0"/>
        <w:autoSpaceDE w:val="0"/>
        <w:autoSpaceDN w:val="0"/>
        <w:adjustRightInd w:val="0"/>
        <w:ind w:left="1440" w:hanging="720"/>
      </w:pPr>
      <w:r>
        <w:t>b)</w:t>
      </w:r>
      <w:r>
        <w:tab/>
        <w:t xml:space="preserve">Out-of-District Tuition.  The local community college board of trustees may set the tuition rates for out-of-district residents living within Illinois within the following policies: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1)</w:t>
      </w:r>
      <w:r>
        <w:tab/>
        <w:t xml:space="preserve">The college will use the calculation for out-of-district tuition for chargeback purposes as prescribed in Section 6-2 of the Act.  The depreciation rate used in the out-of-district tuition calculation for capital expenditures for equipment and temporary buildings shall be 12.5 percent </w:t>
      </w:r>
      <w:r w:rsidR="008C5DA7">
        <w:t>a</w:t>
      </w:r>
      <w:r>
        <w:t xml:space="preserve"> year for eight years and for permanent facilities 2 percent </w:t>
      </w:r>
      <w:r w:rsidR="008C5DA7">
        <w:t>a</w:t>
      </w:r>
      <w:r>
        <w:t xml:space="preserve"> year for 50 years.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2)</w:t>
      </w:r>
      <w:r>
        <w:tab/>
        <w:t xml:space="preserve">The college may use the variable tuition provision in Section 6-4 of the Act to set market-driven out-of-district tuition rates for courses offered via Internet, correspondence, and other distance learning modes.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3)</w:t>
      </w:r>
      <w:r>
        <w:tab/>
        <w:t xml:space="preserve">The college may set the out-of-district tuition rates for adult basic </w:t>
      </w:r>
      <w:r>
        <w:lastRenderedPageBreak/>
        <w:t xml:space="preserve">education, adult secondary education, and English as a second language courses for students who do not meet eligibility requirements in </w:t>
      </w:r>
      <w:r w:rsidR="008C5DA7">
        <w:t xml:space="preserve">Section </w:t>
      </w:r>
      <w:r>
        <w:t xml:space="preserve">10-22.20 of </w:t>
      </w:r>
      <w:r w:rsidR="008C5DA7">
        <w:t>the</w:t>
      </w:r>
      <w:r>
        <w:t xml:space="preserve"> School Code.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4)</w:t>
      </w:r>
      <w:r>
        <w:tab/>
        <w:t xml:space="preserve">The college may charge in-district tuition to a student who is an out-of-district resident but who is employed for at least 35 hours per week by an entity located in the district or is enrolled in a course that is being provided under terms of a contract for services between the employing entity and the college.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5)</w:t>
      </w:r>
      <w:r>
        <w:tab/>
        <w:t xml:space="preserve">The college board of trustees may at its option charge in-district tuition to out-of-district residents who are attending an educational institution located within the college district.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6)</w:t>
      </w:r>
      <w:r>
        <w:tab/>
        <w:t xml:space="preserve">The college may enter into cooperative agreements for instruction with its neighboring districts for any or all of their programs to provide increased access to education for their students and may charge in-district tuition rates for students from any district within the cooperative agreement.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7)</w:t>
      </w:r>
      <w:r>
        <w:tab/>
        <w:t xml:space="preserve">The college may set the out-of-district tuition rate for all other credit instruction offered by the college at a minimum of 1.5 times the highest in-district tuition rate of any of its neighboring contiguous Illinois community college districts.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1440" w:hanging="720"/>
      </w:pPr>
      <w:r>
        <w:t>c)</w:t>
      </w:r>
      <w:r>
        <w:tab/>
        <w:t>Out-of-State Tuition.  The local community college board of trustees may set the tuition rates for out-of-</w:t>
      </w:r>
      <w:r w:rsidR="008C5DA7">
        <w:t>state</w:t>
      </w:r>
      <w:r>
        <w:t xml:space="preserve"> residents within the following policies: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1)</w:t>
      </w:r>
      <w:r>
        <w:tab/>
        <w:t>The college may use the variable tuition provision specified in Section 6-4 of the Act to set market-driven out-of-</w:t>
      </w:r>
      <w:r w:rsidR="008C5DA7">
        <w:t>state</w:t>
      </w:r>
      <w:r>
        <w:t xml:space="preserve"> tuition rates for courses offered via Internet, correspondence, and other distance learning modes.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2)</w:t>
      </w:r>
      <w:r>
        <w:tab/>
        <w:t>The college may set the out-of-</w:t>
      </w:r>
      <w:r w:rsidR="008C5DA7">
        <w:t>state</w:t>
      </w:r>
      <w:r>
        <w:t xml:space="preserve"> tuition rates for adult basic education, adult secondary education, and English as a second language courses for students who do not meet eligibility requirements in </w:t>
      </w:r>
      <w:r w:rsidR="008C5DA7">
        <w:t xml:space="preserve">Section </w:t>
      </w:r>
      <w:r>
        <w:t xml:space="preserve">10-22.20 of the School Code.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3)</w:t>
      </w:r>
      <w:r>
        <w:tab/>
        <w:t>The college may charge in-district tuition to a student who is an out-of-</w:t>
      </w:r>
      <w:r w:rsidR="008C5DA7">
        <w:t>state</w:t>
      </w:r>
      <w:r>
        <w:t xml:space="preserve"> resident but who is employed for at least 35 hours per week by an entity located in the district or is enrolled in a course that is being provided under terms of a contract for services between the employing entity and the college.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4)</w:t>
      </w:r>
      <w:r>
        <w:tab/>
        <w:t>The community college board of trustees may at its option charge in-district tuition to students who are out-of-</w:t>
      </w:r>
      <w:r w:rsidR="008C5DA7">
        <w:t>state</w:t>
      </w:r>
      <w:r>
        <w:t xml:space="preserve"> residents but who are attending educational institutions within the college district.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lastRenderedPageBreak/>
        <w:t>5)</w:t>
      </w:r>
      <w:r>
        <w:tab/>
        <w:t>The college may set out-of-</w:t>
      </w:r>
      <w:r w:rsidR="008C5DA7">
        <w:t>state</w:t>
      </w:r>
      <w:r>
        <w:t xml:space="preserve"> tuition rates within interstate agreements for instruction with out-of-</w:t>
      </w:r>
      <w:r w:rsidR="008C5DA7">
        <w:t>state</w:t>
      </w:r>
      <w:r>
        <w:t xml:space="preserve"> institutions in accordance with the agreement, subject to approval by the ICCB.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2160" w:hanging="720"/>
      </w:pPr>
      <w:r>
        <w:t>6)</w:t>
      </w:r>
      <w:r>
        <w:tab/>
        <w:t>The college may set out-of-</w:t>
      </w:r>
      <w:r w:rsidR="008C5DA7">
        <w:t>state</w:t>
      </w:r>
      <w:r>
        <w:t xml:space="preserve"> tuition rates for all other credit instruction offered by the college at a minimum of 1.67 times its in-district tuition rate. </w:t>
      </w:r>
    </w:p>
    <w:p w:rsidR="00D457CB" w:rsidRDefault="00D457CB" w:rsidP="005C3597">
      <w:pPr>
        <w:widowControl w:val="0"/>
        <w:autoSpaceDE w:val="0"/>
        <w:autoSpaceDN w:val="0"/>
        <w:adjustRightInd w:val="0"/>
      </w:pPr>
    </w:p>
    <w:p w:rsidR="00DD60FF" w:rsidRDefault="00DD60FF" w:rsidP="00DD60FF">
      <w:pPr>
        <w:widowControl w:val="0"/>
        <w:autoSpaceDE w:val="0"/>
        <w:autoSpaceDN w:val="0"/>
        <w:adjustRightInd w:val="0"/>
        <w:ind w:left="1440" w:hanging="720"/>
      </w:pPr>
      <w:r>
        <w:t>d)</w:t>
      </w:r>
      <w:r>
        <w:tab/>
        <w:t>Out-of-Country Tuition.  The local community college board of trustees may set the tuition rates for out-of-country residents using the same policies as for out-of-</w:t>
      </w:r>
      <w:r w:rsidR="00B31195">
        <w:t>state</w:t>
      </w:r>
      <w:r>
        <w:t xml:space="preserve"> residents described in subsection (c). </w:t>
      </w:r>
    </w:p>
    <w:p w:rsidR="00DD60FF" w:rsidRDefault="00DD60FF" w:rsidP="005C3597">
      <w:pPr>
        <w:widowControl w:val="0"/>
        <w:autoSpaceDE w:val="0"/>
        <w:autoSpaceDN w:val="0"/>
        <w:adjustRightInd w:val="0"/>
      </w:pPr>
    </w:p>
    <w:p w:rsidR="00F0753E" w:rsidRDefault="00B31195" w:rsidP="00DD60FF">
      <w:pPr>
        <w:widowControl w:val="0"/>
        <w:autoSpaceDE w:val="0"/>
        <w:autoSpaceDN w:val="0"/>
        <w:adjustRightInd w:val="0"/>
        <w:ind w:left="1440" w:hanging="720"/>
      </w:pPr>
      <w:r>
        <w:t>e)</w:t>
      </w:r>
      <w:r>
        <w:tab/>
        <w:t>Senior Citizen Tuition Waiver. The local community college board of trustees shall permit senior citizens, as defined in Section 1501.501, who reside within the community college district to enroll without the payment of tuition in regularly scheduled credit courses, other than credit courses designed specifically for senior citizens, profided that available classroom space exists and tuition paying students enrolled constitute the minimum number required for the course.</w:t>
      </w:r>
    </w:p>
    <w:p w:rsidR="00F0753E" w:rsidRDefault="00F0753E" w:rsidP="005C3597">
      <w:pPr>
        <w:widowControl w:val="0"/>
        <w:autoSpaceDE w:val="0"/>
        <w:autoSpaceDN w:val="0"/>
        <w:adjustRightInd w:val="0"/>
      </w:pPr>
      <w:bookmarkStart w:id="0" w:name="_GoBack"/>
      <w:bookmarkEnd w:id="0"/>
    </w:p>
    <w:p w:rsidR="00DD60FF" w:rsidRDefault="00F0753E" w:rsidP="00F0753E">
      <w:pPr>
        <w:widowControl w:val="0"/>
        <w:autoSpaceDE w:val="0"/>
        <w:autoSpaceDN w:val="0"/>
        <w:adjustRightInd w:val="0"/>
        <w:ind w:left="1440" w:hanging="720"/>
      </w:pPr>
      <w:r>
        <w:t xml:space="preserve">(Source:  Amended at 42 Ill. Reg. </w:t>
      </w:r>
      <w:r w:rsidR="00266A74">
        <w:t>24855</w:t>
      </w:r>
      <w:r>
        <w:t xml:space="preserve">, effective </w:t>
      </w:r>
      <w:r w:rsidR="00266A74">
        <w:t>December 17, 2018</w:t>
      </w:r>
      <w:r>
        <w:t>)</w:t>
      </w:r>
    </w:p>
    <w:sectPr w:rsidR="00DD60FF" w:rsidSect="00DD60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0FF"/>
    <w:rsid w:val="00266A74"/>
    <w:rsid w:val="005529CB"/>
    <w:rsid w:val="005C3366"/>
    <w:rsid w:val="005C3597"/>
    <w:rsid w:val="00786C57"/>
    <w:rsid w:val="007F1851"/>
    <w:rsid w:val="008C5DA7"/>
    <w:rsid w:val="00B31195"/>
    <w:rsid w:val="00D457CB"/>
    <w:rsid w:val="00DD60FF"/>
    <w:rsid w:val="00F0753E"/>
    <w:rsid w:val="00F9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4DBAC5-1CFA-4C13-989C-049D8742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2018-12-04T14:24:00Z</dcterms:created>
  <dcterms:modified xsi:type="dcterms:W3CDTF">2018-12-27T23:16:00Z</dcterms:modified>
</cp:coreProperties>
</file>