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7" w:rsidRDefault="00897FD7" w:rsidP="000947A3">
      <w:pPr>
        <w:rPr>
          <w:b/>
        </w:rPr>
      </w:pPr>
      <w:bookmarkStart w:id="0" w:name="_GoBack"/>
      <w:bookmarkEnd w:id="0"/>
    </w:p>
    <w:p w:rsidR="000947A3" w:rsidRPr="000947A3" w:rsidRDefault="000947A3" w:rsidP="000947A3">
      <w:pPr>
        <w:rPr>
          <w:b/>
        </w:rPr>
      </w:pPr>
      <w:r w:rsidRPr="000947A3">
        <w:rPr>
          <w:b/>
        </w:rPr>
        <w:t>Section 560.</w:t>
      </w:r>
      <w:r w:rsidR="00897FD7">
        <w:rPr>
          <w:b/>
        </w:rPr>
        <w:t>5</w:t>
      </w:r>
      <w:r w:rsidRPr="000947A3">
        <w:rPr>
          <w:b/>
        </w:rPr>
        <w:t>0  Allocation of Funds</w:t>
      </w:r>
    </w:p>
    <w:p w:rsidR="000947A3" w:rsidRPr="000947A3" w:rsidRDefault="000947A3" w:rsidP="000947A3"/>
    <w:p w:rsidR="000947A3" w:rsidRPr="000947A3" w:rsidRDefault="000947A3" w:rsidP="000947A3">
      <w:pPr>
        <w:ind w:left="1440" w:hanging="720"/>
      </w:pPr>
      <w:r w:rsidRPr="000947A3">
        <w:t>a)</w:t>
      </w:r>
      <w:r w:rsidRPr="000947A3">
        <w:tab/>
        <w:t>The State Superintendent of Education shall approve initial applications for funding and make final determinations regarding the amounts to be provided based upon the total funds appropriated for this initiative.</w:t>
      </w:r>
    </w:p>
    <w:p w:rsidR="000947A3" w:rsidRPr="000947A3" w:rsidRDefault="000947A3" w:rsidP="000947A3">
      <w:pPr>
        <w:ind w:left="1440"/>
      </w:pPr>
    </w:p>
    <w:p w:rsidR="000947A3" w:rsidRPr="000947A3" w:rsidRDefault="000947A3" w:rsidP="000947A3">
      <w:pPr>
        <w:ind w:left="1440" w:hanging="720"/>
      </w:pPr>
      <w:r w:rsidRPr="000947A3">
        <w:t>b)</w:t>
      </w:r>
      <w:r w:rsidRPr="000947A3">
        <w:tab/>
        <w:t>In accordance with Section 2-3.137(b) of the School Code, it is the intention of the State Board of Education to approve funding for four projects under this Part for a four-year period.  Funding for the second, third, and fourth years shall be contingent upon the availability of funds for the program and evidence presented in renewal proposals that the projects have been implemented in accordance with the approved academic improvement plans and grant agreements.</w:t>
      </w:r>
    </w:p>
    <w:p w:rsidR="000947A3" w:rsidRPr="000947A3" w:rsidRDefault="000947A3" w:rsidP="000947A3">
      <w:pPr>
        <w:ind w:left="2160" w:hanging="720"/>
      </w:pPr>
    </w:p>
    <w:p w:rsidR="000947A3" w:rsidRPr="000947A3" w:rsidRDefault="000947A3" w:rsidP="000947A3">
      <w:pPr>
        <w:ind w:left="1440" w:hanging="720"/>
      </w:pPr>
      <w:r w:rsidRPr="000947A3">
        <w:t>c)</w:t>
      </w:r>
      <w:r w:rsidRPr="000947A3">
        <w:tab/>
        <w:t>Only the four grantees originally selected shall be eligible for funding in the second, third, and fourth years of the project.  If one or more of these grantees does not submit an approvable application for continued funding, the amount appropriated for the year in question and any subsequent years shall be divided evenly among the remaining eligible grantees.</w:t>
      </w:r>
    </w:p>
    <w:sectPr w:rsidR="000947A3" w:rsidRPr="000947A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0BB">
      <w:r>
        <w:separator/>
      </w:r>
    </w:p>
  </w:endnote>
  <w:endnote w:type="continuationSeparator" w:id="0">
    <w:p w:rsidR="00000000" w:rsidRDefault="00F0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0BB">
      <w:r>
        <w:separator/>
      </w:r>
    </w:p>
  </w:footnote>
  <w:footnote w:type="continuationSeparator" w:id="0">
    <w:p w:rsidR="00000000" w:rsidRDefault="00F07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947A3"/>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74E8D"/>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97FD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757A4"/>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070BB"/>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86584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2012-06-22T01:00:00Z</dcterms:created>
  <dcterms:modified xsi:type="dcterms:W3CDTF">2012-06-22T01:00:00Z</dcterms:modified>
</cp:coreProperties>
</file>