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DC" w:rsidRDefault="005002DC" w:rsidP="005002DC">
      <w:pPr>
        <w:widowControl w:val="0"/>
        <w:autoSpaceDE w:val="0"/>
        <w:autoSpaceDN w:val="0"/>
        <w:adjustRightInd w:val="0"/>
      </w:pPr>
      <w:bookmarkStart w:id="0" w:name="_GoBack"/>
      <w:bookmarkEnd w:id="0"/>
    </w:p>
    <w:p w:rsidR="005002DC" w:rsidRDefault="005002DC" w:rsidP="005002DC">
      <w:pPr>
        <w:widowControl w:val="0"/>
        <w:autoSpaceDE w:val="0"/>
        <w:autoSpaceDN w:val="0"/>
        <w:adjustRightInd w:val="0"/>
      </w:pPr>
      <w:r>
        <w:rPr>
          <w:b/>
          <w:bCs/>
        </w:rPr>
        <w:t>Section 254.2050  Percentage Contribution of Federal and State Funds</w:t>
      </w:r>
      <w:r>
        <w:t xml:space="preserve"> </w:t>
      </w:r>
    </w:p>
    <w:p w:rsidR="005002DC" w:rsidRDefault="005002DC" w:rsidP="005002DC">
      <w:pPr>
        <w:widowControl w:val="0"/>
        <w:autoSpaceDE w:val="0"/>
        <w:autoSpaceDN w:val="0"/>
        <w:adjustRightInd w:val="0"/>
      </w:pPr>
    </w:p>
    <w:p w:rsidR="005002DC" w:rsidRDefault="005002DC" w:rsidP="005002DC">
      <w:pPr>
        <w:widowControl w:val="0"/>
        <w:autoSpaceDE w:val="0"/>
        <w:autoSpaceDN w:val="0"/>
        <w:adjustRightInd w:val="0"/>
      </w:pPr>
      <w:r>
        <w:t xml:space="preserve">The percentage contribution of Capital Development Board funds utilized for the construction of area secondary vocational centers and the percentage contribution of federal and/or state funds allocated for movable instructional equipment in new area secondary vocational centers will be established and fixed by the State Board of Education at the time of approval of the Step II proposal for an area secondary vocational center. </w:t>
      </w:r>
    </w:p>
    <w:sectPr w:rsidR="005002DC" w:rsidSect="005002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2DC"/>
    <w:rsid w:val="00054241"/>
    <w:rsid w:val="005002DC"/>
    <w:rsid w:val="00581D33"/>
    <w:rsid w:val="005C3366"/>
    <w:rsid w:val="00CE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