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2E" w:rsidRDefault="00E2732E" w:rsidP="00E273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32E" w:rsidRDefault="00E2732E" w:rsidP="00E2732E">
      <w:pPr>
        <w:widowControl w:val="0"/>
        <w:autoSpaceDE w:val="0"/>
        <w:autoSpaceDN w:val="0"/>
        <w:adjustRightInd w:val="0"/>
      </w:pPr>
      <w:r>
        <w:t xml:space="preserve">SOURCE:  Filed and effective April 5, 1971; codified at 7 Ill. Reg. 9558. recodified from the Department of Law Enforcement to the Department of State Police at 10 Ill. Reg. 3282. </w:t>
      </w:r>
    </w:p>
    <w:sectPr w:rsidR="00E2732E" w:rsidSect="00E273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32E"/>
    <w:rsid w:val="002C081A"/>
    <w:rsid w:val="005C3366"/>
    <w:rsid w:val="007522BD"/>
    <w:rsid w:val="00BA07D8"/>
    <w:rsid w:val="00D82C71"/>
    <w:rsid w:val="00E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April 5, 1971; codified at 7 Ill</vt:lpstr>
    </vt:vector>
  </TitlesOfParts>
  <Company>General Assembly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April 5, 1971;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