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5" w:rsidRDefault="00AA5195" w:rsidP="00DB62E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DB62EA" w:rsidRDefault="00DB62EA" w:rsidP="00DB62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1235.110  Transfer of Firearms</w:t>
      </w:r>
      <w:r>
        <w:t xml:space="preserve"> </w:t>
      </w:r>
    </w:p>
    <w:p w:rsidR="00DB62EA" w:rsidRDefault="00DB62EA" w:rsidP="00DB62EA">
      <w:pPr>
        <w:widowControl w:val="0"/>
        <w:autoSpaceDE w:val="0"/>
        <w:autoSpaceDN w:val="0"/>
        <w:adjustRightInd w:val="0"/>
      </w:pPr>
    </w:p>
    <w:p w:rsidR="00DB62EA" w:rsidRDefault="00DB62EA" w:rsidP="00DB62EA">
      <w:pPr>
        <w:widowControl w:val="0"/>
        <w:autoSpaceDE w:val="0"/>
        <w:autoSpaceDN w:val="0"/>
        <w:adjustRightInd w:val="0"/>
      </w:pPr>
      <w:r>
        <w:t xml:space="preserve">The transfer of the firearm(s) associated with a particular inquiry shall only occur after the withholding of delivery provisions of Section 24-3 of the Criminal Code of 1961 [720 ILCS 5/24-3] and within 30 days after the approval to transfer </w:t>
      </w:r>
      <w:r w:rsidR="00485E6A">
        <w:t xml:space="preserve">has been </w:t>
      </w:r>
      <w:r>
        <w:t xml:space="preserve">provided by the Department. </w:t>
      </w:r>
    </w:p>
    <w:p w:rsidR="00DB62EA" w:rsidRDefault="00DB62EA" w:rsidP="00DB62EA">
      <w:pPr>
        <w:widowControl w:val="0"/>
        <w:autoSpaceDE w:val="0"/>
        <w:autoSpaceDN w:val="0"/>
        <w:adjustRightInd w:val="0"/>
      </w:pPr>
    </w:p>
    <w:p w:rsidR="00485E6A" w:rsidRDefault="00485E6A">
      <w:pPr>
        <w:pStyle w:val="JCARSourceNote"/>
        <w:ind w:firstLine="720"/>
      </w:pPr>
      <w:r>
        <w:t xml:space="preserve">(Source:  Amended at 27 Ill. Reg. </w:t>
      </w:r>
      <w:r w:rsidR="003E7115">
        <w:t>5998</w:t>
      </w:r>
      <w:r>
        <w:t xml:space="preserve">, effective </w:t>
      </w:r>
      <w:r w:rsidR="003E7115">
        <w:t>March 21, 2003</w:t>
      </w:r>
      <w:r>
        <w:t>)</w:t>
      </w:r>
    </w:p>
    <w:sectPr w:rsidR="00485E6A" w:rsidSect="00DB62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09E6">
      <w:r>
        <w:separator/>
      </w:r>
    </w:p>
  </w:endnote>
  <w:endnote w:type="continuationSeparator" w:id="0">
    <w:p w:rsidR="00000000" w:rsidRDefault="002E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09E6">
      <w:r>
        <w:separator/>
      </w:r>
    </w:p>
  </w:footnote>
  <w:footnote w:type="continuationSeparator" w:id="0">
    <w:p w:rsidR="00000000" w:rsidRDefault="002E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7F63"/>
    <w:rsid w:val="00061FD4"/>
    <w:rsid w:val="000D225F"/>
    <w:rsid w:val="001C7D95"/>
    <w:rsid w:val="001E3074"/>
    <w:rsid w:val="00225354"/>
    <w:rsid w:val="00236D4F"/>
    <w:rsid w:val="002524EC"/>
    <w:rsid w:val="002A643F"/>
    <w:rsid w:val="002E09E6"/>
    <w:rsid w:val="00337CEB"/>
    <w:rsid w:val="00367A2E"/>
    <w:rsid w:val="003E7115"/>
    <w:rsid w:val="003F3A28"/>
    <w:rsid w:val="003F5FD7"/>
    <w:rsid w:val="00431CFE"/>
    <w:rsid w:val="004461A1"/>
    <w:rsid w:val="00473160"/>
    <w:rsid w:val="00485E6A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E3CC9"/>
    <w:rsid w:val="00780733"/>
    <w:rsid w:val="00801D20"/>
    <w:rsid w:val="00825C45"/>
    <w:rsid w:val="008271B1"/>
    <w:rsid w:val="00837F88"/>
    <w:rsid w:val="0084781C"/>
    <w:rsid w:val="00935A8C"/>
    <w:rsid w:val="0098276C"/>
    <w:rsid w:val="009C4FD4"/>
    <w:rsid w:val="00A174BB"/>
    <w:rsid w:val="00A2265D"/>
    <w:rsid w:val="00A414BC"/>
    <w:rsid w:val="00A600AA"/>
    <w:rsid w:val="00AA5195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B62EA"/>
    <w:rsid w:val="00E7288E"/>
    <w:rsid w:val="00E919B6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