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D7" w:rsidRDefault="001B2FD7" w:rsidP="001B2F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2FD7" w:rsidRDefault="001B2FD7" w:rsidP="001B2FD7">
      <w:pPr>
        <w:widowControl w:val="0"/>
        <w:autoSpaceDE w:val="0"/>
        <w:autoSpaceDN w:val="0"/>
        <w:adjustRightInd w:val="0"/>
      </w:pPr>
      <w:r>
        <w:t xml:space="preserve">AUTHORITY:  Implementing Section 5-30 and authorized by Section 5-105 of the Eliminate the Digital Divide Law [30 ILCS 780]. </w:t>
      </w:r>
    </w:p>
    <w:sectPr w:rsidR="001B2FD7" w:rsidSect="001B2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FD7"/>
    <w:rsid w:val="001B2FD7"/>
    <w:rsid w:val="003D6B5B"/>
    <w:rsid w:val="00592476"/>
    <w:rsid w:val="005C3366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5-30 and authorized by Section 5-105 of the Eliminate the Digital Divide Law [30 ILCS 780]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5-30 and authorized by Section 5-105 of the Eliminate the Digital Divide Law [30 ILCS 780]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