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B" w:rsidRDefault="00F8702B" w:rsidP="00F870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02B" w:rsidRDefault="00F8702B" w:rsidP="00F870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1413.30  Eligibility</w:t>
      </w:r>
      <w:r>
        <w:t xml:space="preserve"> </w:t>
      </w:r>
    </w:p>
    <w:p w:rsidR="00F8702B" w:rsidRDefault="00F8702B" w:rsidP="00F8702B">
      <w:pPr>
        <w:widowControl w:val="0"/>
        <w:autoSpaceDE w:val="0"/>
        <w:autoSpaceDN w:val="0"/>
        <w:adjustRightInd w:val="0"/>
      </w:pPr>
    </w:p>
    <w:p w:rsidR="00F8702B" w:rsidRDefault="00F8702B" w:rsidP="00F8702B">
      <w:pPr>
        <w:widowControl w:val="0"/>
        <w:autoSpaceDE w:val="0"/>
        <w:autoSpaceDN w:val="0"/>
        <w:adjustRightInd w:val="0"/>
      </w:pPr>
      <w:r>
        <w:t xml:space="preserve">A horse must be eligible to run at time of entry. </w:t>
      </w:r>
    </w:p>
    <w:sectPr w:rsidR="00F8702B" w:rsidSect="00F870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02B"/>
    <w:rsid w:val="00045AFC"/>
    <w:rsid w:val="001678D1"/>
    <w:rsid w:val="00460DC4"/>
    <w:rsid w:val="008C0C2C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