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B3" w:rsidRDefault="00F51DB3" w:rsidP="00F51D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1DB3" w:rsidRDefault="00F51DB3" w:rsidP="00F51DB3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603.55  Prima Facie Evidence</w:t>
      </w:r>
      <w:r>
        <w:t xml:space="preserve"> </w:t>
      </w:r>
    </w:p>
    <w:p w:rsidR="00F51DB3" w:rsidRDefault="00F51DB3" w:rsidP="00F51DB3">
      <w:pPr>
        <w:widowControl w:val="0"/>
        <w:autoSpaceDE w:val="0"/>
        <w:autoSpaceDN w:val="0"/>
        <w:adjustRightInd w:val="0"/>
      </w:pPr>
    </w:p>
    <w:p w:rsidR="00F51DB3" w:rsidRDefault="00F51DB3" w:rsidP="00F51DB3">
      <w:pPr>
        <w:widowControl w:val="0"/>
        <w:autoSpaceDE w:val="0"/>
        <w:autoSpaceDN w:val="0"/>
        <w:adjustRightInd w:val="0"/>
      </w:pPr>
      <w:r>
        <w:t xml:space="preserve">A determination by the laboratory  of the presence of a foreign substance in a test sample shall constitute prima facie evidence that the trainer has violated Section 603.30(c) or has failed in the duties specified in this Part. </w:t>
      </w:r>
    </w:p>
    <w:p w:rsidR="00F51DB3" w:rsidRDefault="00F51DB3" w:rsidP="00F51DB3">
      <w:pPr>
        <w:widowControl w:val="0"/>
        <w:autoSpaceDE w:val="0"/>
        <w:autoSpaceDN w:val="0"/>
        <w:adjustRightInd w:val="0"/>
      </w:pPr>
    </w:p>
    <w:p w:rsidR="00F51DB3" w:rsidRDefault="00F51DB3" w:rsidP="00F51DB3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Added at 22 Ill. Reg. 3594, effective February 1, 1998) </w:t>
      </w:r>
    </w:p>
    <w:sectPr w:rsidR="00F51DB3" w:rsidSect="00F51DB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1DB3"/>
    <w:rsid w:val="0002359E"/>
    <w:rsid w:val="00295D10"/>
    <w:rsid w:val="00B225CC"/>
    <w:rsid w:val="00B471BE"/>
    <w:rsid w:val="00F5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603</vt:lpstr>
    </vt:vector>
  </TitlesOfParts>
  <Company>State of Illinois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603</dc:title>
  <dc:subject/>
  <dc:creator>ThomasVD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