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53" w:rsidRDefault="00CE4353" w:rsidP="00CE43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353" w:rsidRDefault="00CE4353" w:rsidP="00CE43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510.160  Trainer Responsibility for Post-Race Tests</w:t>
      </w:r>
      <w:r>
        <w:t xml:space="preserve"> </w:t>
      </w:r>
    </w:p>
    <w:p w:rsidR="00CE4353" w:rsidRDefault="00CE4353" w:rsidP="00CE4353">
      <w:pPr>
        <w:widowControl w:val="0"/>
        <w:autoSpaceDE w:val="0"/>
        <w:autoSpaceDN w:val="0"/>
        <w:adjustRightInd w:val="0"/>
      </w:pPr>
    </w:p>
    <w:p w:rsidR="00CE4353" w:rsidRDefault="00CE4353" w:rsidP="00CE4353">
      <w:pPr>
        <w:widowControl w:val="0"/>
        <w:autoSpaceDE w:val="0"/>
        <w:autoSpaceDN w:val="0"/>
        <w:adjustRightInd w:val="0"/>
      </w:pPr>
      <w:r>
        <w:t xml:space="preserve">A trainer, whose horse has been claimed and is designated for post-race testing, remains responsible for the claimed horse until after collection of the blood and/or urine specimens at the detention barn where delivery shall be made to the successful claimant. </w:t>
      </w:r>
    </w:p>
    <w:p w:rsidR="00CE4353" w:rsidRDefault="00CE4353" w:rsidP="00CE4353">
      <w:pPr>
        <w:widowControl w:val="0"/>
        <w:autoSpaceDE w:val="0"/>
        <w:autoSpaceDN w:val="0"/>
        <w:adjustRightInd w:val="0"/>
      </w:pPr>
    </w:p>
    <w:p w:rsidR="00CE4353" w:rsidRDefault="00CE4353" w:rsidP="00CE435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2064, effective January 21, 1994) </w:t>
      </w:r>
    </w:p>
    <w:sectPr w:rsidR="00CE4353" w:rsidSect="00CE435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353"/>
    <w:rsid w:val="00026F21"/>
    <w:rsid w:val="00295D10"/>
    <w:rsid w:val="00595172"/>
    <w:rsid w:val="007D5B14"/>
    <w:rsid w:val="00C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2012-06-21T21:13:00Z</dcterms:modified>
</cp:coreProperties>
</file>