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67" w:rsidRDefault="00E04867" w:rsidP="00E04867"/>
    <w:p w:rsidR="00E04867" w:rsidRDefault="00E04867" w:rsidP="00E04867">
      <w:pPr>
        <w:rPr>
          <w:b/>
        </w:rPr>
      </w:pPr>
      <w:r>
        <w:rPr>
          <w:b/>
        </w:rPr>
        <w:t xml:space="preserve">Section </w:t>
      </w:r>
      <w:r w:rsidRPr="009111C1">
        <w:rPr>
          <w:b/>
        </w:rPr>
        <w:t xml:space="preserve">1300.650  Petition for Rehearing </w:t>
      </w:r>
    </w:p>
    <w:p w:rsidR="00AB375F" w:rsidRDefault="00AB375F" w:rsidP="00E04867"/>
    <w:p w:rsidR="00E04867" w:rsidRPr="009111C1" w:rsidRDefault="00E04867" w:rsidP="00E04867">
      <w:bookmarkStart w:id="0" w:name="_GoBack"/>
      <w:bookmarkEnd w:id="0"/>
      <w:r w:rsidRPr="009111C1">
        <w:t>The respondent in any contested case may request reconsideration of any part or all of the decision of the administrative law judge on any petition or may request the Director to stay the effective date of any administrative action for a specific period or for an indefinite period.  A petition for reconsideration or stay of action shall be submitted within 30 days after the date of the administrative law judge's decision on the case.  A petition for reconsideration or stay of action submitted later than 30 days after the date of the decision involved shall be denied as untimely.</w:t>
      </w:r>
    </w:p>
    <w:sectPr w:rsidR="00E04867" w:rsidRPr="009111C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970" w:rsidRDefault="000C5970">
      <w:r>
        <w:separator/>
      </w:r>
    </w:p>
  </w:endnote>
  <w:endnote w:type="continuationSeparator" w:id="0">
    <w:p w:rsidR="000C5970" w:rsidRDefault="000C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970" w:rsidRDefault="000C5970">
      <w:r>
        <w:separator/>
      </w:r>
    </w:p>
  </w:footnote>
  <w:footnote w:type="continuationSeparator" w:id="0">
    <w:p w:rsidR="000C5970" w:rsidRDefault="000C5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597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52"/>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11C1"/>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75F"/>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4867"/>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DB590-9254-450E-8F6E-990F59EB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86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Bockewitz, Crystal K.</cp:lastModifiedBy>
  <cp:revision>5</cp:revision>
  <dcterms:created xsi:type="dcterms:W3CDTF">2019-11-07T17:16:00Z</dcterms:created>
  <dcterms:modified xsi:type="dcterms:W3CDTF">2020-01-24T20:45:00Z</dcterms:modified>
</cp:coreProperties>
</file>