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F0" w:rsidRDefault="00DC0BF0" w:rsidP="00DC0B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0BF0" w:rsidRDefault="00DC0BF0" w:rsidP="00DC0BF0">
      <w:pPr>
        <w:widowControl w:val="0"/>
        <w:autoSpaceDE w:val="0"/>
        <w:autoSpaceDN w:val="0"/>
        <w:adjustRightInd w:val="0"/>
      </w:pPr>
      <w:r>
        <w:t xml:space="preserve">AUTHORITY:  Implementing and authorized by the Sustainable Agriculture Act (Ill. Rev. Stat. 1991, ch. 5, par. 2651 et seq., as amended by PA 87-998, effective January 1, 1993) [505 ILCS 135/1 et seq.]. </w:t>
      </w:r>
    </w:p>
    <w:sectPr w:rsidR="00DC0BF0" w:rsidSect="00DC0B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BF0"/>
    <w:rsid w:val="001678D1"/>
    <w:rsid w:val="00294C71"/>
    <w:rsid w:val="00DC0BF0"/>
    <w:rsid w:val="00E47832"/>
    <w:rsid w:val="00F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Sustainable Agriculture Act (Ill</vt:lpstr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Sustainable Agriculture Act (Ill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