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A3" w:rsidRDefault="009E5EA3" w:rsidP="009E5E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EA3" w:rsidRDefault="009E5EA3" w:rsidP="009E5EA3">
      <w:pPr>
        <w:widowControl w:val="0"/>
        <w:autoSpaceDE w:val="0"/>
        <w:autoSpaceDN w:val="0"/>
        <w:adjustRightInd w:val="0"/>
      </w:pPr>
      <w:r>
        <w:t>SOURCE:  Adopted at 17 Ill. Reg. 2189, effective February 9, 1993; amended at 19 Ill. Reg. 6800, effective May 8, 1995; amended at 26 Ill. Reg.</w:t>
      </w:r>
      <w:r w:rsidR="006A5BD7">
        <w:t xml:space="preserve"> 8808, effective June 7, 2002. </w:t>
      </w:r>
    </w:p>
    <w:sectPr w:rsidR="009E5EA3" w:rsidSect="009E5E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EA3"/>
    <w:rsid w:val="001678D1"/>
    <w:rsid w:val="00186341"/>
    <w:rsid w:val="001E59B5"/>
    <w:rsid w:val="006A5BD7"/>
    <w:rsid w:val="009E5EA3"/>
    <w:rsid w:val="00A7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