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24" w:rsidRPr="00C01A24" w:rsidRDefault="00C01A24" w:rsidP="00C01A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C01A24">
        <w:t>TITLE 4:  DISCRIMINATION PROCEDURES</w:t>
      </w:r>
    </w:p>
    <w:sectPr w:rsidR="00C01A24" w:rsidRPr="00C01A2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B1" w:rsidRDefault="00E14DB1">
      <w:r>
        <w:separator/>
      </w:r>
    </w:p>
  </w:endnote>
  <w:endnote w:type="continuationSeparator" w:id="0">
    <w:p w:rsidR="00E14DB1" w:rsidRDefault="00E1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B1" w:rsidRDefault="00E14DB1">
      <w:r>
        <w:separator/>
      </w:r>
    </w:p>
  </w:footnote>
  <w:footnote w:type="continuationSeparator" w:id="0">
    <w:p w:rsidR="00E14DB1" w:rsidRDefault="00E1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1A2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B6611"/>
    <w:rsid w:val="002C2410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31BD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578D6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1A24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4DB1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