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D" w:rsidRDefault="00947B2D" w:rsidP="00947B2D">
      <w:pPr>
        <w:rPr>
          <w:b/>
        </w:rPr>
      </w:pPr>
      <w:bookmarkStart w:id="0" w:name="_GoBack"/>
      <w:bookmarkEnd w:id="0"/>
    </w:p>
    <w:p w:rsidR="00947B2D" w:rsidRDefault="00947B2D" w:rsidP="00947B2D">
      <w:r>
        <w:rPr>
          <w:b/>
        </w:rPr>
        <w:t>Section 1750.70</w:t>
      </w:r>
      <w:r w:rsidR="00601E21">
        <w:rPr>
          <w:b/>
        </w:rPr>
        <w:t xml:space="preserve"> </w:t>
      </w:r>
      <w:r>
        <w:rPr>
          <w:b/>
        </w:rPr>
        <w:t xml:space="preserve"> Case-By-Case Resolution</w:t>
      </w:r>
      <w:r>
        <w:t xml:space="preserve"> </w:t>
      </w:r>
    </w:p>
    <w:p w:rsidR="00947B2D" w:rsidRDefault="00947B2D" w:rsidP="00947B2D"/>
    <w:p w:rsidR="00947B2D" w:rsidRDefault="00947B2D" w:rsidP="00947B2D">
      <w:r>
        <w:t xml:space="preserve">Each </w:t>
      </w:r>
      <w:r w:rsidR="00601E21">
        <w:t>g</w:t>
      </w:r>
      <w:r>
        <w:t xml:space="preserve">rievance involves a unique set of factors </w:t>
      </w:r>
      <w:r w:rsidR="00601E21">
        <w:t>that</w:t>
      </w:r>
      <w:r>
        <w:t xml:space="preserve"> include</w:t>
      </w:r>
      <w:r w:rsidR="00601E21">
        <w:t>s</w:t>
      </w:r>
      <w:r>
        <w:t xml:space="preserve"> but </w:t>
      </w:r>
      <w:r w:rsidR="00601E21">
        <w:t>is</w:t>
      </w:r>
      <w:r>
        <w:t xml:space="preserve"> not limited to: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service, or activity or undue hardship on the </w:t>
      </w:r>
      <w:proofErr w:type="spellStart"/>
      <w:r>
        <w:t>Tollway</w:t>
      </w:r>
      <w:proofErr w:type="spellEnd"/>
      <w:r>
        <w:t xml:space="preserve">. Accordingly, termination of a grievance at any level, whether through the granting of relief or otherwise, shall not constitute a precedent on which any other </w:t>
      </w:r>
      <w:r w:rsidR="00601E21">
        <w:t>c</w:t>
      </w:r>
      <w:r>
        <w:t xml:space="preserve">omplainants should rely. </w:t>
      </w:r>
    </w:p>
    <w:sectPr w:rsidR="00947B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3D2">
      <w:r>
        <w:separator/>
      </w:r>
    </w:p>
  </w:endnote>
  <w:endnote w:type="continuationSeparator" w:id="0">
    <w:p w:rsidR="00000000" w:rsidRDefault="008F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3D2">
      <w:r>
        <w:separator/>
      </w:r>
    </w:p>
  </w:footnote>
  <w:footnote w:type="continuationSeparator" w:id="0">
    <w:p w:rsidR="00000000" w:rsidRDefault="008F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1E03"/>
    <w:rsid w:val="005001C5"/>
    <w:rsid w:val="0052308E"/>
    <w:rsid w:val="00530BE1"/>
    <w:rsid w:val="00542E97"/>
    <w:rsid w:val="0056157E"/>
    <w:rsid w:val="0056501E"/>
    <w:rsid w:val="005F4571"/>
    <w:rsid w:val="00601E2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03D2"/>
    <w:rsid w:val="00933D72"/>
    <w:rsid w:val="00935A8C"/>
    <w:rsid w:val="00947B2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2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2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