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41" w:rsidRDefault="002A7E41" w:rsidP="002A7E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7E41" w:rsidRDefault="002A7E41" w:rsidP="002A7E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1075.70  Case-By-Case Resolution</w:t>
      </w:r>
      <w:r>
        <w:t xml:space="preserve"> </w:t>
      </w:r>
    </w:p>
    <w:p w:rsidR="002A7E41" w:rsidRDefault="002A7E41" w:rsidP="002A7E41">
      <w:pPr>
        <w:widowControl w:val="0"/>
        <w:autoSpaceDE w:val="0"/>
        <w:autoSpaceDN w:val="0"/>
        <w:adjustRightInd w:val="0"/>
      </w:pPr>
    </w:p>
    <w:p w:rsidR="002A7E41" w:rsidRDefault="002A7E41" w:rsidP="002A7E41">
      <w:pPr>
        <w:widowControl w:val="0"/>
        <w:autoSpaceDE w:val="0"/>
        <w:autoSpaceDN w:val="0"/>
        <w:adjustRightInd w:val="0"/>
      </w:pPr>
      <w:r>
        <w:t xml:space="preserve">Each grievance involves a unique set of factors, which includes but is not limited to: 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or undue hardship on the Office of Public Counsel. Accordingly, termination of a grievance at any Level, whether through the granting of relief or otherwise, shall not constitute a precedent on which any other complainants should rely. </w:t>
      </w:r>
    </w:p>
    <w:sectPr w:rsidR="002A7E41" w:rsidSect="002A7E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E41"/>
    <w:rsid w:val="000F1600"/>
    <w:rsid w:val="001678D1"/>
    <w:rsid w:val="00244C61"/>
    <w:rsid w:val="002A7E41"/>
    <w:rsid w:val="003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