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C1" w:rsidRDefault="001025C1" w:rsidP="001025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5C1" w:rsidRDefault="001025C1" w:rsidP="001025C1">
      <w:pPr>
        <w:widowControl w:val="0"/>
        <w:autoSpaceDE w:val="0"/>
        <w:autoSpaceDN w:val="0"/>
        <w:adjustRightInd w:val="0"/>
      </w:pPr>
      <w:r>
        <w:t>SOURCE:  Adopted at 16 Ill. Reg. 15102, effective September 21, 1992; recodified from the Department of Rehabilitation Services to the Department of Human Services at 21 Ill. Reg. 9324; old Part repealed at 23 Ill. Reg. 3971, and new Part adopted at 23 Ill. Reg. 3973, effective March 19, 1999; amended at 24 Ill. Reg</w:t>
      </w:r>
      <w:r w:rsidR="00F006FC">
        <w:t xml:space="preserve">. 7494, effective May 6, 2000. </w:t>
      </w:r>
    </w:p>
    <w:sectPr w:rsidR="001025C1" w:rsidSect="001025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5C1"/>
    <w:rsid w:val="001025C1"/>
    <w:rsid w:val="001678D1"/>
    <w:rsid w:val="00376F83"/>
    <w:rsid w:val="00C31555"/>
    <w:rsid w:val="00C9167A"/>
    <w:rsid w:val="00F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