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726" w:rsidRDefault="00BF5726" w:rsidP="00BF5726">
      <w:pPr>
        <w:rPr>
          <w:b/>
        </w:rPr>
      </w:pPr>
      <w:bookmarkStart w:id="0" w:name="_GoBack"/>
      <w:bookmarkEnd w:id="0"/>
    </w:p>
    <w:p w:rsidR="00BF5726" w:rsidRPr="00BF5726" w:rsidRDefault="00BF5726" w:rsidP="00BF5726">
      <w:pPr>
        <w:rPr>
          <w:b/>
        </w:rPr>
      </w:pPr>
      <w:r w:rsidRPr="00BF5726">
        <w:rPr>
          <w:b/>
        </w:rPr>
        <w:t>Section 3430.30  Statute of Limitations</w:t>
      </w:r>
    </w:p>
    <w:p w:rsidR="00BF5726" w:rsidRDefault="00BF5726" w:rsidP="00BF5726"/>
    <w:p w:rsidR="00BF5726" w:rsidRDefault="00BF5726" w:rsidP="00BF5726">
      <w:r>
        <w:rPr>
          <w:i/>
        </w:rPr>
        <w:t>An investigation may not be initiated more than five years after the most recent act of the alleged violation or of a series of alleged violations except where there is reasonable cause to believe that fraudulent concealment has occurred</w:t>
      </w:r>
      <w:r>
        <w:t xml:space="preserve"> [605 ILCS 10/8.5(d)].</w:t>
      </w:r>
    </w:p>
    <w:sectPr w:rsidR="00BF572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6E0" w:rsidRDefault="009776E0">
      <w:r>
        <w:separator/>
      </w:r>
    </w:p>
  </w:endnote>
  <w:endnote w:type="continuationSeparator" w:id="0">
    <w:p w:rsidR="009776E0" w:rsidRDefault="0097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6E0" w:rsidRDefault="009776E0">
      <w:r>
        <w:separator/>
      </w:r>
    </w:p>
  </w:footnote>
  <w:footnote w:type="continuationSeparator" w:id="0">
    <w:p w:rsidR="009776E0" w:rsidRDefault="00977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419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3F72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419A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76E0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726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3272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56A8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572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572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