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07" w:rsidRDefault="007F2607" w:rsidP="007F2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607" w:rsidRDefault="007F2607" w:rsidP="007F26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2500.220  Staff </w:t>
      </w:r>
      <w:r w:rsidR="00E672B9">
        <w:rPr>
          <w:b/>
          <w:bCs/>
        </w:rPr>
        <w:t>Structure</w:t>
      </w:r>
      <w:r>
        <w:t xml:space="preserve"> </w:t>
      </w:r>
    </w:p>
    <w:p w:rsidR="007F2607" w:rsidRDefault="007F2607" w:rsidP="007F2607">
      <w:pPr>
        <w:widowControl w:val="0"/>
        <w:autoSpaceDE w:val="0"/>
        <w:autoSpaceDN w:val="0"/>
        <w:adjustRightInd w:val="0"/>
      </w:pPr>
    </w:p>
    <w:p w:rsidR="007F2607" w:rsidRDefault="007F2607" w:rsidP="007F2607">
      <w:pPr>
        <w:widowControl w:val="0"/>
        <w:autoSpaceDE w:val="0"/>
        <w:autoSpaceDN w:val="0"/>
        <w:adjustRightInd w:val="0"/>
      </w:pPr>
      <w:r>
        <w:t xml:space="preserve">The </w:t>
      </w:r>
      <w:r w:rsidR="00E672B9">
        <w:t xml:space="preserve">Illinois </w:t>
      </w:r>
      <w:r>
        <w:t xml:space="preserve">Labor Relations </w:t>
      </w:r>
      <w:r w:rsidR="0098678C">
        <w:t>Board</w:t>
      </w:r>
      <w:r>
        <w:t xml:space="preserve"> shall employ an Executive Director and a General Counsel who shall be responsible for the operations of the offices of the </w:t>
      </w:r>
      <w:r w:rsidR="00E672B9">
        <w:t>Board</w:t>
      </w:r>
      <w:r>
        <w:t xml:space="preserve">.  The staff of the </w:t>
      </w:r>
      <w:r w:rsidR="00E672B9">
        <w:t xml:space="preserve">Illinois </w:t>
      </w:r>
      <w:r>
        <w:t xml:space="preserve">Labor Relations </w:t>
      </w:r>
      <w:r w:rsidR="00E672B9">
        <w:t>Board</w:t>
      </w:r>
      <w:r>
        <w:t xml:space="preserve"> is organized chiefly into two divisions, as depicted in Appendix A.  The </w:t>
      </w:r>
      <w:r w:rsidR="00E672B9">
        <w:t>Board's</w:t>
      </w:r>
      <w:r>
        <w:t xml:space="preserve"> Executive Director is responsible for the </w:t>
      </w:r>
      <w:r w:rsidR="00E672B9">
        <w:t>Board's</w:t>
      </w:r>
      <w:r>
        <w:t xml:space="preserve"> administrative operations, and for supervising the </w:t>
      </w:r>
      <w:r w:rsidR="00E672B9">
        <w:t>Board's</w:t>
      </w:r>
      <w:r>
        <w:t xml:space="preserve"> investigations of representation petitions and unfair labor practice charges filed with the </w:t>
      </w:r>
      <w:r w:rsidR="00E672B9">
        <w:t>Board</w:t>
      </w:r>
      <w:r>
        <w:t xml:space="preserve">.  The </w:t>
      </w:r>
      <w:r w:rsidR="00E672B9">
        <w:t>Board'</w:t>
      </w:r>
      <w:r w:rsidR="0098678C">
        <w:t>s</w:t>
      </w:r>
      <w:r>
        <w:t xml:space="preserve"> General Counsel is responsible for its legal affairs, for advising the </w:t>
      </w:r>
      <w:r w:rsidR="00E672B9">
        <w:t>Board</w:t>
      </w:r>
      <w:r>
        <w:t xml:space="preserve"> on legal matters, and for supervising the </w:t>
      </w:r>
      <w:r w:rsidR="00E672B9">
        <w:t>Board's</w:t>
      </w:r>
      <w:r>
        <w:t xml:space="preserve"> attorneys who serve as administrative law judges in representation and unfair labor practice proceedings. </w:t>
      </w:r>
    </w:p>
    <w:p w:rsidR="007F2607" w:rsidRDefault="007F2607" w:rsidP="007F2607">
      <w:pPr>
        <w:widowControl w:val="0"/>
        <w:autoSpaceDE w:val="0"/>
        <w:autoSpaceDN w:val="0"/>
        <w:adjustRightInd w:val="0"/>
      </w:pPr>
    </w:p>
    <w:p w:rsidR="007F2607" w:rsidRDefault="00E672B9" w:rsidP="007F260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96121">
        <w:t xml:space="preserve">19955, </w:t>
      </w:r>
      <w:r w:rsidRPr="00D55B37">
        <w:t xml:space="preserve">effective </w:t>
      </w:r>
      <w:r w:rsidR="00C6435B">
        <w:t>October 2, 2014</w:t>
      </w:r>
      <w:r w:rsidRPr="00D55B37">
        <w:t>)</w:t>
      </w:r>
    </w:p>
    <w:sectPr w:rsidR="007F2607" w:rsidSect="007F2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607"/>
    <w:rsid w:val="001678D1"/>
    <w:rsid w:val="00731EF1"/>
    <w:rsid w:val="00796121"/>
    <w:rsid w:val="007F2607"/>
    <w:rsid w:val="00841D2E"/>
    <w:rsid w:val="0098678C"/>
    <w:rsid w:val="00AE2887"/>
    <w:rsid w:val="00C6435B"/>
    <w:rsid w:val="00D95150"/>
    <w:rsid w:val="00E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AED810-B1D9-49E6-ADAF-965AA31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