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CF" w:rsidRDefault="00180FCF" w:rsidP="00180F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FCF" w:rsidRDefault="00180FCF" w:rsidP="00180FCF">
      <w:pPr>
        <w:widowControl w:val="0"/>
        <w:autoSpaceDE w:val="0"/>
        <w:autoSpaceDN w:val="0"/>
        <w:adjustRightInd w:val="0"/>
      </w:pPr>
      <w:r>
        <w:t xml:space="preserve">SOURCE:  Adopted at 8 Ill. Reg. 12478, effective July 2, 1984; recodified from Chapter XXXIII, Commissioner of Savings and Loan Associations, to Chapter XXXIII, Office of Banks and Real Estate, pursuant to PA </w:t>
      </w:r>
      <w:r w:rsidR="00877C86">
        <w:t xml:space="preserve">89-508, at 20 Ill. Reg. 12526. </w:t>
      </w:r>
    </w:p>
    <w:sectPr w:rsidR="00180FCF" w:rsidSect="00180F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FCF"/>
    <w:rsid w:val="001678D1"/>
    <w:rsid w:val="00180FCF"/>
    <w:rsid w:val="005D0841"/>
    <w:rsid w:val="00877C86"/>
    <w:rsid w:val="00AE7B06"/>
    <w:rsid w:val="00B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