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CC" w:rsidRDefault="00DD3BCC" w:rsidP="00DD3B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BCC" w:rsidRDefault="00DD3BCC" w:rsidP="00DD3B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925.210  Structure of the Department</w:t>
      </w:r>
      <w:r>
        <w:t xml:space="preserve"> </w:t>
      </w:r>
    </w:p>
    <w:p w:rsidR="00DD3BCC" w:rsidRDefault="00DD3BCC" w:rsidP="00DD3BCC">
      <w:pPr>
        <w:widowControl w:val="0"/>
        <w:autoSpaceDE w:val="0"/>
        <w:autoSpaceDN w:val="0"/>
        <w:adjustRightInd w:val="0"/>
      </w:pPr>
    </w:p>
    <w:p w:rsidR="00DD3BCC" w:rsidRDefault="00DD3BCC" w:rsidP="00DD3BCC">
      <w:pPr>
        <w:widowControl w:val="0"/>
        <w:autoSpaceDE w:val="0"/>
        <w:autoSpaceDN w:val="0"/>
        <w:adjustRightInd w:val="0"/>
      </w:pPr>
      <w:r>
        <w:t xml:space="preserve">The Department of Human Rights is headed by a Director appointed by the Governor with the advice and consent of the Senate. The Department is organized in four divisions:   Administration, Legal, Charge Processing and Compliance.  The Department's structure is depicted in Appendix A. </w:t>
      </w:r>
    </w:p>
    <w:p w:rsidR="00DD3BCC" w:rsidRDefault="00DD3BCC" w:rsidP="00DD3BCC">
      <w:pPr>
        <w:widowControl w:val="0"/>
        <w:autoSpaceDE w:val="0"/>
        <w:autoSpaceDN w:val="0"/>
        <w:adjustRightInd w:val="0"/>
      </w:pPr>
    </w:p>
    <w:p w:rsidR="00DD3BCC" w:rsidRDefault="00DD3BCC" w:rsidP="00DD3B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525, effective January 4, 1994) </w:t>
      </w:r>
    </w:p>
    <w:sectPr w:rsidR="00DD3BCC" w:rsidSect="00DD3B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BCC"/>
    <w:rsid w:val="001678D1"/>
    <w:rsid w:val="00211CA5"/>
    <w:rsid w:val="006529D5"/>
    <w:rsid w:val="00D22D08"/>
    <w:rsid w:val="00D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