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22" w:rsidRDefault="00DB3422" w:rsidP="00DB34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422" w:rsidRDefault="00DB3422" w:rsidP="00DB3422">
      <w:pPr>
        <w:widowControl w:val="0"/>
        <w:autoSpaceDE w:val="0"/>
        <w:autoSpaceDN w:val="0"/>
        <w:adjustRightInd w:val="0"/>
      </w:pPr>
      <w:r>
        <w:t xml:space="preserve">AUTHORITY:  Implementing and authorized by Section 15 of the Secretary of State Act [15 ILCS 305/15]. </w:t>
      </w:r>
    </w:p>
    <w:sectPr w:rsidR="00DB3422" w:rsidSect="00DB34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422"/>
    <w:rsid w:val="001678D1"/>
    <w:rsid w:val="0050033B"/>
    <w:rsid w:val="00602B22"/>
    <w:rsid w:val="00DB3422"/>
    <w:rsid w:val="00E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15 of the Secretary of State Act [15 ILCS 305/15]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15 of the Secretary of State Act [15 ILCS 305/15]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