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33" w:rsidRDefault="007E0B33" w:rsidP="007E0B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0B33" w:rsidRDefault="007E0B33" w:rsidP="007E0B33">
      <w:pPr>
        <w:widowControl w:val="0"/>
        <w:autoSpaceDE w:val="0"/>
        <w:autoSpaceDN w:val="0"/>
        <w:adjustRightInd w:val="0"/>
      </w:pPr>
      <w:r>
        <w:t xml:space="preserve">AUTHORITY:  Implementing Sections 1005-15 and 1010-20 of Chapter 127 of Ill. Rev. Stat. 1991 (Ill. Rev. Stat. 1991 ch. 127, pars. 1005-15 and 1010-20) [5 ILCS 100/5-15, 10-20] and authorized by Sections 2-103 and 2-104 of ch. 95 1/2 of the Illinois Vehicle Code (Ill. Rev. Stat. 1991. ch. 95 1/2, pars. 2-103, 2-104) [625 ILCS 5/2-103, 2-104]. </w:t>
      </w:r>
    </w:p>
    <w:sectPr w:rsidR="007E0B33" w:rsidSect="007E0B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B33"/>
    <w:rsid w:val="001678D1"/>
    <w:rsid w:val="00770004"/>
    <w:rsid w:val="007E0B33"/>
    <w:rsid w:val="00945A8A"/>
    <w:rsid w:val="00C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1005-15 and 1010-20 of Chapter 127 of Ill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1005-15 and 1010-20 of Chapter 127 of Ill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